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802" w:rsidRDefault="00AB2802" w:rsidP="00377537">
      <w:pPr>
        <w:jc w:val="both"/>
        <w:rPr>
          <w:b/>
          <w:bCs/>
          <w:sz w:val="28"/>
          <w:szCs w:val="28"/>
        </w:rPr>
      </w:pPr>
      <w:r>
        <w:rPr>
          <w:b/>
          <w:bCs/>
          <w:sz w:val="28"/>
          <w:szCs w:val="28"/>
        </w:rPr>
        <w:t>У.А. Одинцова</w:t>
      </w:r>
    </w:p>
    <w:p w:rsidR="00AB2802" w:rsidRPr="00377537" w:rsidRDefault="00AB2802" w:rsidP="00377537">
      <w:pPr>
        <w:jc w:val="both"/>
        <w:rPr>
          <w:bCs/>
          <w:sz w:val="28"/>
          <w:szCs w:val="28"/>
        </w:rPr>
      </w:pPr>
      <w:r w:rsidRPr="00377537">
        <w:rPr>
          <w:bCs/>
          <w:sz w:val="28"/>
          <w:szCs w:val="28"/>
        </w:rPr>
        <w:t>Студентка магистратуры Высшей школы урбанистики НИУ ВШЭ</w:t>
      </w:r>
    </w:p>
    <w:p w:rsidR="00AB2802" w:rsidRPr="00335B24" w:rsidRDefault="00AB2802" w:rsidP="00377537">
      <w:pPr>
        <w:jc w:val="both"/>
        <w:rPr>
          <w:bCs/>
          <w:sz w:val="28"/>
          <w:szCs w:val="28"/>
          <w:lang w:val="it-IT"/>
        </w:rPr>
      </w:pPr>
      <w:r w:rsidRPr="00377537">
        <w:rPr>
          <w:bCs/>
          <w:sz w:val="28"/>
          <w:szCs w:val="28"/>
        </w:rPr>
        <w:t>Тел</w:t>
      </w:r>
      <w:r w:rsidRPr="00335B24">
        <w:rPr>
          <w:bCs/>
          <w:sz w:val="28"/>
          <w:szCs w:val="28"/>
          <w:lang w:val="it-IT"/>
        </w:rPr>
        <w:t>. +7(903)177-1216, e-mail: u.odintsova@gmail.com</w:t>
      </w:r>
    </w:p>
    <w:p w:rsidR="00AB2802" w:rsidRPr="00335B24" w:rsidRDefault="00AB2802" w:rsidP="00F82FB0">
      <w:pPr>
        <w:jc w:val="center"/>
        <w:rPr>
          <w:b/>
          <w:bCs/>
          <w:sz w:val="28"/>
          <w:szCs w:val="28"/>
          <w:lang w:val="it-IT"/>
        </w:rPr>
      </w:pPr>
    </w:p>
    <w:p w:rsidR="00AB2802" w:rsidRPr="00335B24" w:rsidRDefault="00AB2802" w:rsidP="00F82FB0">
      <w:pPr>
        <w:jc w:val="center"/>
        <w:rPr>
          <w:b/>
          <w:bCs/>
          <w:sz w:val="28"/>
          <w:szCs w:val="28"/>
          <w:lang w:val="it-IT"/>
        </w:rPr>
      </w:pPr>
    </w:p>
    <w:p w:rsidR="00AB2802" w:rsidRPr="00476CD7" w:rsidRDefault="00AB2802" w:rsidP="00F82FB0">
      <w:pPr>
        <w:jc w:val="center"/>
        <w:rPr>
          <w:b/>
          <w:bCs/>
          <w:caps/>
          <w:sz w:val="28"/>
          <w:szCs w:val="28"/>
        </w:rPr>
      </w:pPr>
      <w:r w:rsidRPr="00476CD7">
        <w:rPr>
          <w:b/>
          <w:bCs/>
          <w:caps/>
          <w:sz w:val="28"/>
          <w:szCs w:val="28"/>
        </w:rPr>
        <w:t>Институт несоответствующего использования территории как механизм развития российских городов (на примере г.Липецка)</w:t>
      </w:r>
    </w:p>
    <w:p w:rsidR="00AB2802" w:rsidRPr="00476CD7" w:rsidRDefault="00AB2802" w:rsidP="00F82FB0">
      <w:pPr>
        <w:jc w:val="center"/>
        <w:rPr>
          <w:b/>
          <w:bCs/>
          <w:sz w:val="28"/>
          <w:szCs w:val="28"/>
        </w:rPr>
      </w:pPr>
    </w:p>
    <w:p w:rsidR="00AB2802" w:rsidRPr="00476CD7" w:rsidRDefault="00AB2802" w:rsidP="00B153E9">
      <w:pPr>
        <w:jc w:val="center"/>
        <w:rPr>
          <w:b/>
          <w:bCs/>
          <w:i/>
          <w:sz w:val="28"/>
          <w:szCs w:val="28"/>
        </w:rPr>
      </w:pPr>
      <w:r w:rsidRPr="00476CD7">
        <w:rPr>
          <w:b/>
          <w:bCs/>
          <w:i/>
          <w:sz w:val="28"/>
          <w:szCs w:val="28"/>
        </w:rPr>
        <w:t>Аннотация</w:t>
      </w:r>
    </w:p>
    <w:p w:rsidR="00AB2802" w:rsidRPr="00476CD7" w:rsidRDefault="00AB2802" w:rsidP="00B153E9">
      <w:pPr>
        <w:ind w:firstLine="708"/>
        <w:jc w:val="both"/>
        <w:rPr>
          <w:bCs/>
          <w:i/>
          <w:sz w:val="28"/>
          <w:szCs w:val="28"/>
        </w:rPr>
      </w:pPr>
      <w:r w:rsidRPr="00476CD7">
        <w:rPr>
          <w:bCs/>
          <w:i/>
          <w:sz w:val="28"/>
          <w:szCs w:val="28"/>
        </w:rPr>
        <w:t>Одним из основных факторов экономического развития города является земля. Применение института несоответствующего использования территории в совокупности с эффективной системой налогообложения дает возможность повысить эффективность использования городской территории и увеличить доходы местных бюджетов, в том числе за счет увеличения сборов по земельному налогу. При растущих доходах у местных властей появляется возможность дополнительных финансовых вложений в развитие городской инфраструктуры, благоустройство городской территории и строительство новых социальных объектов, что в конечном итоге может значительно повысить качество городской среды. В данной статье автор рассматривает механизм института несоответствующего использования и практику его применения в российских реалиях.</w:t>
      </w:r>
    </w:p>
    <w:p w:rsidR="00AB2802" w:rsidRPr="00476CD7" w:rsidRDefault="00AB2802" w:rsidP="00F82FB0">
      <w:pPr>
        <w:jc w:val="center"/>
        <w:rPr>
          <w:b/>
          <w:bCs/>
          <w:sz w:val="28"/>
          <w:szCs w:val="28"/>
        </w:rPr>
      </w:pPr>
    </w:p>
    <w:p w:rsidR="00AB2802" w:rsidRPr="00476CD7" w:rsidRDefault="00AB2802" w:rsidP="00B153E9">
      <w:pPr>
        <w:ind w:firstLine="708"/>
        <w:jc w:val="both"/>
        <w:rPr>
          <w:bCs/>
          <w:sz w:val="28"/>
          <w:szCs w:val="28"/>
        </w:rPr>
      </w:pPr>
      <w:r w:rsidRPr="00476CD7">
        <w:rPr>
          <w:bCs/>
          <w:sz w:val="28"/>
          <w:szCs w:val="28"/>
        </w:rPr>
        <w:t>Ключевые слова: несоответствующее использование, налогообложение недвижимости, развитие города.</w:t>
      </w:r>
    </w:p>
    <w:p w:rsidR="00AB2802" w:rsidRPr="00476CD7" w:rsidRDefault="00AB2802" w:rsidP="00B153E9">
      <w:pPr>
        <w:jc w:val="both"/>
        <w:rPr>
          <w:b/>
          <w:bCs/>
          <w:sz w:val="28"/>
          <w:szCs w:val="28"/>
        </w:rPr>
      </w:pPr>
    </w:p>
    <w:p w:rsidR="00AB2802" w:rsidRPr="00476CD7" w:rsidRDefault="00AB2802" w:rsidP="00B153E9">
      <w:pPr>
        <w:jc w:val="center"/>
        <w:rPr>
          <w:bCs/>
          <w:i/>
          <w:sz w:val="28"/>
          <w:szCs w:val="28"/>
          <w:lang w:val="en-US"/>
        </w:rPr>
      </w:pPr>
      <w:r w:rsidRPr="00476CD7">
        <w:rPr>
          <w:bCs/>
          <w:i/>
          <w:sz w:val="28"/>
          <w:szCs w:val="28"/>
          <w:lang w:val="en-US"/>
        </w:rPr>
        <w:t>Abstract.</w:t>
      </w:r>
    </w:p>
    <w:p w:rsidR="00AB2802" w:rsidRPr="00476CD7" w:rsidRDefault="00AB2802" w:rsidP="00B153E9">
      <w:pPr>
        <w:ind w:firstLine="708"/>
        <w:jc w:val="both"/>
        <w:rPr>
          <w:bCs/>
          <w:i/>
          <w:sz w:val="28"/>
          <w:szCs w:val="28"/>
          <w:lang w:val="en-US"/>
        </w:rPr>
      </w:pPr>
      <w:r w:rsidRPr="00476CD7">
        <w:rPr>
          <w:bCs/>
          <w:i/>
          <w:sz w:val="28"/>
          <w:szCs w:val="28"/>
          <w:lang w:val="en-US"/>
        </w:rPr>
        <w:t xml:space="preserve">One of the most important factors in a city’s economic development is land. The structure imposed by the institute of inappropriate land use, combined with an effective tax system enables more efficient land use and contributes to municipal budgets, including through increased tax revenues. As a result, municipal authorities are able to invest in infrastructure, development and the construction of new municipal buildings, which may ultimately improve the quality of the urban environment. In this article the author considers the institute of inappropriate land use and its application in </w:t>
      </w:r>
      <w:smartTag w:uri="urn:schemas-microsoft-com:office:smarttags" w:element="place">
        <w:smartTag w:uri="urn:schemas-microsoft-com:office:smarttags" w:element="country-region">
          <w:r w:rsidRPr="00476CD7">
            <w:rPr>
              <w:bCs/>
              <w:i/>
              <w:sz w:val="28"/>
              <w:szCs w:val="28"/>
              <w:lang w:val="en-US"/>
            </w:rPr>
            <w:t>Russia</w:t>
          </w:r>
        </w:smartTag>
      </w:smartTag>
      <w:r w:rsidRPr="00476CD7">
        <w:rPr>
          <w:bCs/>
          <w:i/>
          <w:sz w:val="28"/>
          <w:szCs w:val="28"/>
          <w:lang w:val="en-US"/>
        </w:rPr>
        <w:t xml:space="preserve">. </w:t>
      </w:r>
    </w:p>
    <w:p w:rsidR="00AB2802" w:rsidRPr="00476CD7" w:rsidRDefault="00AB2802" w:rsidP="00B153E9">
      <w:pPr>
        <w:ind w:firstLine="708"/>
        <w:jc w:val="both"/>
        <w:rPr>
          <w:bCs/>
          <w:i/>
          <w:sz w:val="28"/>
          <w:szCs w:val="28"/>
          <w:lang w:val="en-US"/>
        </w:rPr>
      </w:pPr>
    </w:p>
    <w:p w:rsidR="00AB2802" w:rsidRPr="00476CD7" w:rsidRDefault="00AB2802" w:rsidP="00B153E9">
      <w:pPr>
        <w:ind w:firstLine="708"/>
        <w:jc w:val="both"/>
        <w:rPr>
          <w:bCs/>
          <w:sz w:val="28"/>
          <w:szCs w:val="28"/>
          <w:lang w:val="en-US"/>
        </w:rPr>
      </w:pPr>
    </w:p>
    <w:p w:rsidR="00AB2802" w:rsidRPr="00476CD7" w:rsidRDefault="00AB2802" w:rsidP="00377537">
      <w:pPr>
        <w:ind w:firstLine="708"/>
        <w:jc w:val="both"/>
        <w:rPr>
          <w:bCs/>
          <w:sz w:val="28"/>
          <w:szCs w:val="28"/>
          <w:lang w:val="en-US"/>
        </w:rPr>
      </w:pPr>
      <w:r w:rsidRPr="00476CD7">
        <w:rPr>
          <w:bCs/>
          <w:sz w:val="28"/>
          <w:szCs w:val="28"/>
          <w:lang w:val="en-US"/>
        </w:rPr>
        <w:t xml:space="preserve">Key words: inappropriate land use, taxation of real estate, urban development. </w:t>
      </w:r>
    </w:p>
    <w:p w:rsidR="00AB2802" w:rsidRPr="00476CD7" w:rsidRDefault="00AB2802" w:rsidP="00F82FB0">
      <w:pPr>
        <w:jc w:val="center"/>
        <w:rPr>
          <w:b/>
          <w:bCs/>
          <w:sz w:val="28"/>
          <w:szCs w:val="28"/>
          <w:lang w:val="en-US"/>
        </w:rPr>
      </w:pPr>
    </w:p>
    <w:p w:rsidR="00AB2802" w:rsidRPr="00476CD7" w:rsidRDefault="00AB2802" w:rsidP="00F82FB0">
      <w:pPr>
        <w:jc w:val="center"/>
        <w:rPr>
          <w:b/>
          <w:bCs/>
          <w:sz w:val="28"/>
          <w:szCs w:val="28"/>
          <w:lang w:val="en-US"/>
        </w:rPr>
      </w:pPr>
    </w:p>
    <w:p w:rsidR="00AB2802" w:rsidRPr="00476CD7" w:rsidRDefault="00AB2802" w:rsidP="00F82FB0">
      <w:pPr>
        <w:jc w:val="center"/>
        <w:rPr>
          <w:b/>
          <w:bCs/>
          <w:sz w:val="28"/>
          <w:szCs w:val="28"/>
          <w:lang w:val="en-US"/>
        </w:rPr>
      </w:pPr>
    </w:p>
    <w:p w:rsidR="00AB2802" w:rsidRPr="00476CD7" w:rsidRDefault="00AB2802" w:rsidP="00F82FB0">
      <w:pPr>
        <w:jc w:val="center"/>
        <w:rPr>
          <w:b/>
          <w:bCs/>
          <w:sz w:val="28"/>
          <w:szCs w:val="28"/>
          <w:lang w:val="en-US"/>
        </w:rPr>
      </w:pPr>
    </w:p>
    <w:p w:rsidR="00AB2802" w:rsidRPr="00476CD7" w:rsidRDefault="00AB2802" w:rsidP="00F82FB0">
      <w:pPr>
        <w:jc w:val="center"/>
        <w:rPr>
          <w:b/>
          <w:bCs/>
          <w:sz w:val="28"/>
          <w:szCs w:val="28"/>
          <w:lang w:val="en-US"/>
        </w:rPr>
      </w:pPr>
    </w:p>
    <w:p w:rsidR="00AB2802" w:rsidRPr="00476CD7" w:rsidRDefault="00AB2802" w:rsidP="00F82FB0">
      <w:pPr>
        <w:jc w:val="center"/>
        <w:rPr>
          <w:b/>
          <w:bCs/>
          <w:sz w:val="28"/>
          <w:szCs w:val="28"/>
          <w:lang w:val="en-US"/>
        </w:rPr>
      </w:pPr>
    </w:p>
    <w:p w:rsidR="00AB2802" w:rsidRPr="00476CD7" w:rsidRDefault="00AB2802" w:rsidP="00F82FB0">
      <w:pPr>
        <w:jc w:val="center"/>
        <w:rPr>
          <w:b/>
          <w:bCs/>
          <w:sz w:val="28"/>
          <w:szCs w:val="28"/>
          <w:lang w:val="en-US"/>
        </w:rPr>
      </w:pPr>
    </w:p>
    <w:p w:rsidR="00AB2802" w:rsidRPr="00476CD7" w:rsidRDefault="00AB2802" w:rsidP="00F82FB0">
      <w:pPr>
        <w:jc w:val="center"/>
        <w:rPr>
          <w:b/>
          <w:bCs/>
          <w:sz w:val="28"/>
          <w:szCs w:val="28"/>
          <w:lang w:val="en-US"/>
        </w:rPr>
      </w:pPr>
    </w:p>
    <w:p w:rsidR="00AB2802" w:rsidRPr="00476CD7" w:rsidRDefault="00AB2802" w:rsidP="00F82FB0">
      <w:pPr>
        <w:jc w:val="center"/>
        <w:rPr>
          <w:b/>
          <w:bCs/>
          <w:sz w:val="28"/>
          <w:szCs w:val="28"/>
          <w:lang w:val="en-US"/>
        </w:rPr>
      </w:pPr>
    </w:p>
    <w:p w:rsidR="00AB2802" w:rsidRPr="00476CD7" w:rsidRDefault="00AB2802" w:rsidP="00F82FB0">
      <w:pPr>
        <w:jc w:val="center"/>
        <w:rPr>
          <w:b/>
          <w:bCs/>
          <w:sz w:val="28"/>
          <w:szCs w:val="28"/>
          <w:lang w:val="en-US"/>
        </w:rPr>
      </w:pPr>
    </w:p>
    <w:p w:rsidR="00AB2802" w:rsidRPr="00476CD7" w:rsidRDefault="00AB2802" w:rsidP="00F82FB0">
      <w:pPr>
        <w:jc w:val="center"/>
        <w:rPr>
          <w:b/>
          <w:bCs/>
          <w:sz w:val="28"/>
          <w:szCs w:val="28"/>
          <w:lang w:val="en-US"/>
        </w:rPr>
      </w:pPr>
    </w:p>
    <w:p w:rsidR="00AB2802" w:rsidRPr="00476CD7" w:rsidRDefault="00AB2802" w:rsidP="00F82FB0">
      <w:pPr>
        <w:jc w:val="center"/>
        <w:rPr>
          <w:b/>
          <w:bCs/>
          <w:sz w:val="28"/>
          <w:szCs w:val="28"/>
          <w:lang w:val="en-US"/>
        </w:rPr>
      </w:pPr>
    </w:p>
    <w:p w:rsidR="00AB2802" w:rsidRPr="00476CD7" w:rsidRDefault="00AB2802" w:rsidP="00F82FB0">
      <w:pPr>
        <w:jc w:val="center"/>
        <w:rPr>
          <w:b/>
          <w:bCs/>
          <w:sz w:val="28"/>
          <w:szCs w:val="28"/>
          <w:lang w:val="en-US"/>
        </w:rPr>
      </w:pPr>
    </w:p>
    <w:p w:rsidR="00AB2802" w:rsidRPr="00476CD7" w:rsidRDefault="00AB2802">
      <w:pPr>
        <w:rPr>
          <w:sz w:val="28"/>
          <w:szCs w:val="28"/>
          <w:lang w:val="en-US"/>
        </w:rPr>
      </w:pPr>
    </w:p>
    <w:tbl>
      <w:tblPr>
        <w:tblW w:w="0" w:type="auto"/>
        <w:tblLook w:val="00A0"/>
      </w:tblPr>
      <w:tblGrid>
        <w:gridCol w:w="4785"/>
        <w:gridCol w:w="4786"/>
      </w:tblGrid>
      <w:tr w:rsidR="00AB2802" w:rsidRPr="00476CD7">
        <w:tc>
          <w:tcPr>
            <w:tcW w:w="4785" w:type="dxa"/>
          </w:tcPr>
          <w:p w:rsidR="00AB2802" w:rsidRPr="00476CD7" w:rsidRDefault="00AB2802" w:rsidP="00F82FB0">
            <w:pPr>
              <w:jc w:val="both"/>
              <w:rPr>
                <w:sz w:val="28"/>
                <w:szCs w:val="28"/>
                <w:lang w:val="en-US"/>
              </w:rPr>
            </w:pPr>
          </w:p>
        </w:tc>
        <w:tc>
          <w:tcPr>
            <w:tcW w:w="4786" w:type="dxa"/>
          </w:tcPr>
          <w:p w:rsidR="00AB2802" w:rsidRPr="00476CD7" w:rsidRDefault="00AB2802" w:rsidP="00F82FB0">
            <w:pPr>
              <w:jc w:val="both"/>
              <w:rPr>
                <w:i/>
                <w:iCs/>
                <w:sz w:val="28"/>
                <w:szCs w:val="28"/>
              </w:rPr>
            </w:pPr>
            <w:r w:rsidRPr="00476CD7">
              <w:rPr>
                <w:i/>
                <w:iCs/>
                <w:sz w:val="28"/>
                <w:szCs w:val="28"/>
              </w:rPr>
              <w:t>Беда с землей заключается в том, что ее больше не делают</w:t>
            </w:r>
          </w:p>
          <w:p w:rsidR="00AB2802" w:rsidRPr="00476CD7" w:rsidRDefault="00AB2802" w:rsidP="00F82FB0">
            <w:pPr>
              <w:jc w:val="right"/>
              <w:rPr>
                <w:sz w:val="28"/>
                <w:szCs w:val="28"/>
              </w:rPr>
            </w:pPr>
            <w:r w:rsidRPr="00476CD7">
              <w:rPr>
                <w:i/>
                <w:iCs/>
                <w:sz w:val="28"/>
                <w:szCs w:val="28"/>
              </w:rPr>
              <w:t>Уилл Роджерс</w:t>
            </w:r>
          </w:p>
        </w:tc>
      </w:tr>
    </w:tbl>
    <w:p w:rsidR="00AB2802" w:rsidRPr="00476CD7" w:rsidRDefault="00AB2802" w:rsidP="00344F88">
      <w:pPr>
        <w:ind w:firstLine="708"/>
        <w:jc w:val="both"/>
        <w:rPr>
          <w:sz w:val="28"/>
          <w:szCs w:val="28"/>
        </w:rPr>
      </w:pPr>
    </w:p>
    <w:p w:rsidR="00AB2802" w:rsidRPr="00476CD7" w:rsidRDefault="00AB2802" w:rsidP="00F614D6">
      <w:pPr>
        <w:spacing w:line="360" w:lineRule="auto"/>
        <w:ind w:firstLine="708"/>
        <w:jc w:val="both"/>
        <w:rPr>
          <w:sz w:val="28"/>
          <w:szCs w:val="28"/>
        </w:rPr>
      </w:pPr>
      <w:r w:rsidRPr="00476CD7">
        <w:rPr>
          <w:sz w:val="28"/>
          <w:szCs w:val="28"/>
        </w:rPr>
        <w:t xml:space="preserve">Российские города – двигатель национальной экономики. Динамика развития современных городов во многом определяет уровень развития регионов и страны в целом. </w:t>
      </w:r>
    </w:p>
    <w:p w:rsidR="00AB2802" w:rsidRPr="00476CD7" w:rsidRDefault="00AB2802" w:rsidP="00F614D6">
      <w:pPr>
        <w:spacing w:line="360" w:lineRule="auto"/>
        <w:ind w:firstLine="708"/>
        <w:jc w:val="both"/>
        <w:rPr>
          <w:sz w:val="28"/>
          <w:szCs w:val="28"/>
        </w:rPr>
      </w:pPr>
      <w:r w:rsidRPr="00476CD7">
        <w:rPr>
          <w:sz w:val="28"/>
          <w:szCs w:val="28"/>
        </w:rPr>
        <w:t xml:space="preserve">Сегодня большое внимание уделяется вопросам социально-экономического развития. Стратегическое планирование стало распространенным явлением в экономической жизни регионов, крупных городов, муниципальных образований. И это естественный процесс, если учесть сложности вхождения хозяйствующих субъектов разных уровней на рынок, формирования рыночных отношений и становления рыночной экономики в целом. [1] В регионах формируются концепции стратегического развития, реализуются мероприятия, направленные на повышение инвестиционной привлекательности городов и регионов в целом. </w:t>
      </w:r>
    </w:p>
    <w:p w:rsidR="00AB2802" w:rsidRPr="00476CD7" w:rsidRDefault="00AB2802" w:rsidP="00F614D6">
      <w:pPr>
        <w:spacing w:line="360" w:lineRule="auto"/>
        <w:ind w:firstLine="708"/>
        <w:jc w:val="both"/>
        <w:rPr>
          <w:sz w:val="28"/>
          <w:szCs w:val="28"/>
        </w:rPr>
      </w:pPr>
      <w:r w:rsidRPr="00476CD7">
        <w:rPr>
          <w:sz w:val="28"/>
          <w:szCs w:val="28"/>
        </w:rPr>
        <w:t xml:space="preserve">Современное экономическое пространство России очень разнородно по уровню экономического развития и уровню жизни.  Но, несомненно, среди всех факторов экономического развития, центральное место принадлежит земле. Земля как объект хозяйственных и рыночных отношений, занимает уникальное и ключевое значение во всей системе предпринимательской деятельности людей и самой их жизни. Она представляет собой особую ценность для всего человеческого общества, поскольку является единственным местом проживания всех народов и поколений людей, основным и естественным фактором в любой сфере бизнеса, прямо или косвенно участвующим в производстве всех других товаров и благ. Не случайно великий русский писатель Ф.М. Достоевский в своих дневниках записал, что «без земли … и миллионер – пролетарий». </w:t>
      </w:r>
    </w:p>
    <w:p w:rsidR="00AB2802" w:rsidRPr="00476CD7" w:rsidRDefault="00AB2802" w:rsidP="00F614D6">
      <w:pPr>
        <w:spacing w:line="360" w:lineRule="auto"/>
        <w:ind w:firstLine="708"/>
        <w:jc w:val="both"/>
        <w:rPr>
          <w:sz w:val="28"/>
          <w:szCs w:val="28"/>
        </w:rPr>
      </w:pPr>
      <w:r w:rsidRPr="00476CD7">
        <w:rPr>
          <w:sz w:val="28"/>
          <w:szCs w:val="28"/>
        </w:rPr>
        <w:t xml:space="preserve">Для города земля – основной фактор его экономического развития. «На городской земле обычно выращивают налоги» - писал Чарльз Дадли Уорнер, американский писатель, романист. Одним из основных источников доходов местных бюджетов является земельный налог (местные налоги: земельный налог, налог на имущество физических лиц). </w:t>
      </w:r>
    </w:p>
    <w:p w:rsidR="00AB2802" w:rsidRPr="00476CD7" w:rsidRDefault="00AB2802" w:rsidP="00F614D6">
      <w:pPr>
        <w:spacing w:line="360" w:lineRule="auto"/>
        <w:ind w:firstLine="708"/>
        <w:jc w:val="both"/>
        <w:rPr>
          <w:sz w:val="28"/>
          <w:szCs w:val="28"/>
        </w:rPr>
      </w:pPr>
      <w:r w:rsidRPr="00476CD7">
        <w:rPr>
          <w:sz w:val="28"/>
          <w:szCs w:val="28"/>
        </w:rPr>
        <w:t xml:space="preserve">Земельный налог регламентируется гл. 31 «Земельный налог», Налогового кодекса РФ. Плательщиками земельного налога являются все физические  и юридические лица, которым предоставлена земля в собственность или пользование на территории России. Объектами обложения земельным налогом служат конкретные сформированные земельные участки, предоставленные гражданам и юридическим лицам в собственность или пользование. Налоговой базой является кадастровая стоимость земельного участка, определяемая в соответствии с земельным законодательством.  </w:t>
      </w:r>
    </w:p>
    <w:p w:rsidR="00AB2802" w:rsidRPr="00476CD7" w:rsidRDefault="00AB2802" w:rsidP="00F614D6">
      <w:pPr>
        <w:pStyle w:val="ListParagraph"/>
        <w:spacing w:after="0" w:line="360" w:lineRule="auto"/>
        <w:ind w:left="0" w:firstLine="708"/>
        <w:jc w:val="both"/>
        <w:rPr>
          <w:rFonts w:ascii="Times New Roman" w:hAnsi="Times New Roman" w:cs="Times New Roman"/>
          <w:sz w:val="28"/>
          <w:szCs w:val="28"/>
        </w:rPr>
      </w:pPr>
      <w:r w:rsidRPr="00476CD7">
        <w:rPr>
          <w:rFonts w:ascii="Times New Roman" w:hAnsi="Times New Roman" w:cs="Times New Roman"/>
          <w:sz w:val="28"/>
          <w:szCs w:val="28"/>
        </w:rPr>
        <w:t xml:space="preserve">Для определения кадастровой стоимости земельного участка проводится государственная кадастровая оценка, в основе которой лежит классификация земель по целевому назначению и виду ее функционального использования (территориального зонирования).  Стоимость земельного участка сильно зависит от того, как она используется. Например, земля под многоэтажными жилыми домами, как правило, значительно дешевле, нежели под торговыми центрами и объектами обслуживания. Земля под промышленными объектами часто дешевле, чем под офисными и административными зданиями.  </w:t>
      </w:r>
    </w:p>
    <w:p w:rsidR="00AB2802" w:rsidRPr="00476CD7" w:rsidRDefault="00AB2802" w:rsidP="00F614D6">
      <w:pPr>
        <w:pStyle w:val="ListParagraph"/>
        <w:spacing w:after="0" w:line="360" w:lineRule="auto"/>
        <w:ind w:left="0" w:firstLine="708"/>
        <w:jc w:val="both"/>
        <w:rPr>
          <w:rFonts w:ascii="Times New Roman" w:hAnsi="Times New Roman" w:cs="Times New Roman"/>
          <w:sz w:val="28"/>
          <w:szCs w:val="28"/>
        </w:rPr>
      </w:pPr>
      <w:r w:rsidRPr="00476CD7">
        <w:rPr>
          <w:rFonts w:ascii="Times New Roman" w:hAnsi="Times New Roman" w:cs="Times New Roman"/>
          <w:sz w:val="28"/>
          <w:szCs w:val="28"/>
        </w:rPr>
        <w:t xml:space="preserve"> Кадастровая оценка земель в соответствии с «Правилами проведения государственной кадастровой оценки», утвержденными Правительством РФ должна осуществляться на основании статистического анализа рыночных цен и иной информации об объектах недвижимости, а также иных методов массовой оценки недвижимости.  И, несмотря на это, в большинстве случаев, кадастровая стоимость земли зачастую значительно отличается от рыночной стоимости того же самого участка.     </w:t>
      </w:r>
    </w:p>
    <w:p w:rsidR="00AB2802" w:rsidRPr="00476CD7" w:rsidRDefault="00AB2802" w:rsidP="00F614D6">
      <w:pPr>
        <w:pStyle w:val="ListParagraph"/>
        <w:spacing w:after="0" w:line="360" w:lineRule="auto"/>
        <w:ind w:left="0" w:firstLine="708"/>
        <w:jc w:val="both"/>
        <w:rPr>
          <w:rFonts w:ascii="Times New Roman" w:hAnsi="Times New Roman" w:cs="Times New Roman"/>
          <w:sz w:val="28"/>
          <w:szCs w:val="28"/>
        </w:rPr>
      </w:pPr>
      <w:r w:rsidRPr="00476CD7">
        <w:rPr>
          <w:rFonts w:ascii="Times New Roman" w:hAnsi="Times New Roman" w:cs="Times New Roman"/>
          <w:sz w:val="28"/>
          <w:szCs w:val="28"/>
        </w:rPr>
        <w:t xml:space="preserve">Поскольку земельный налог относится к числу местных налогов, налоговые ставки устанавливаются нормативно-правовыми актами представительных органов муниципальных образований (законами городов федерального значения Москвы и Санкт-Петербурга) и не могут превышать: </w:t>
      </w:r>
    </w:p>
    <w:p w:rsidR="00AB2802" w:rsidRPr="00476CD7" w:rsidRDefault="00AB2802" w:rsidP="00F614D6">
      <w:pPr>
        <w:pStyle w:val="ListParagraph"/>
        <w:numPr>
          <w:ilvl w:val="0"/>
          <w:numId w:val="2"/>
        </w:numPr>
        <w:spacing w:after="0" w:line="360" w:lineRule="auto"/>
        <w:ind w:left="851" w:hanging="284"/>
        <w:jc w:val="both"/>
        <w:rPr>
          <w:rFonts w:ascii="Times New Roman" w:hAnsi="Times New Roman" w:cs="Times New Roman"/>
          <w:sz w:val="28"/>
          <w:szCs w:val="28"/>
        </w:rPr>
      </w:pPr>
      <w:r w:rsidRPr="00476CD7">
        <w:rPr>
          <w:rFonts w:ascii="Times New Roman" w:hAnsi="Times New Roman" w:cs="Times New Roman"/>
          <w:sz w:val="28"/>
          <w:szCs w:val="28"/>
        </w:rPr>
        <w:t>0,3% в отношении земельных участков:</w:t>
      </w:r>
    </w:p>
    <w:p w:rsidR="00AB2802" w:rsidRPr="00476CD7" w:rsidRDefault="00AB2802" w:rsidP="00F614D6">
      <w:pPr>
        <w:pStyle w:val="ListParagraph"/>
        <w:numPr>
          <w:ilvl w:val="0"/>
          <w:numId w:val="1"/>
        </w:numPr>
        <w:spacing w:after="0" w:line="360" w:lineRule="auto"/>
        <w:jc w:val="both"/>
        <w:rPr>
          <w:rFonts w:ascii="Times New Roman" w:hAnsi="Times New Roman" w:cs="Times New Roman"/>
          <w:sz w:val="28"/>
          <w:szCs w:val="28"/>
        </w:rPr>
      </w:pPr>
      <w:r w:rsidRPr="00476CD7">
        <w:rPr>
          <w:rFonts w:ascii="Times New Roman" w:hAnsi="Times New Roman" w:cs="Times New Roman"/>
          <w:sz w:val="28"/>
          <w:szCs w:val="28"/>
        </w:rPr>
        <w:t>Отнесенных к землям сельскохозяйственного назначения или к землям в составе зон сельскохозяйственного использования в поселениях и используемых для сельскохозяйственного производства;</w:t>
      </w:r>
    </w:p>
    <w:p w:rsidR="00AB2802" w:rsidRPr="00476CD7" w:rsidRDefault="00AB2802" w:rsidP="00F614D6">
      <w:pPr>
        <w:pStyle w:val="ListParagraph"/>
        <w:numPr>
          <w:ilvl w:val="0"/>
          <w:numId w:val="1"/>
        </w:numPr>
        <w:spacing w:after="0" w:line="360" w:lineRule="auto"/>
        <w:jc w:val="both"/>
        <w:rPr>
          <w:rFonts w:ascii="Times New Roman" w:hAnsi="Times New Roman" w:cs="Times New Roman"/>
          <w:sz w:val="28"/>
          <w:szCs w:val="28"/>
        </w:rPr>
      </w:pPr>
      <w:r w:rsidRPr="00476CD7">
        <w:rPr>
          <w:rFonts w:ascii="Times New Roman" w:hAnsi="Times New Roman" w:cs="Times New Roman"/>
          <w:sz w:val="28"/>
          <w:szCs w:val="28"/>
        </w:rPr>
        <w:t>Занятых жилищным фондом и объектами инженерно инфраструктуры жилищно-коммунального комплекса (за исключением доли в праве на земельный участок, приходящийся на объект, не относящийся к жилищному фонду и к объектам инженерной инфраструктуры жилищно-коммунального комплекса) или предоставленных для жилищного строительства;</w:t>
      </w:r>
    </w:p>
    <w:p w:rsidR="00AB2802" w:rsidRPr="00476CD7" w:rsidRDefault="00AB2802" w:rsidP="00F614D6">
      <w:pPr>
        <w:pStyle w:val="ListParagraph"/>
        <w:numPr>
          <w:ilvl w:val="0"/>
          <w:numId w:val="1"/>
        </w:numPr>
        <w:spacing w:after="0" w:line="360" w:lineRule="auto"/>
        <w:jc w:val="both"/>
        <w:rPr>
          <w:rFonts w:ascii="Times New Roman" w:hAnsi="Times New Roman" w:cs="Times New Roman"/>
          <w:sz w:val="28"/>
          <w:szCs w:val="28"/>
        </w:rPr>
      </w:pPr>
      <w:r w:rsidRPr="00476CD7">
        <w:rPr>
          <w:rFonts w:ascii="Times New Roman" w:hAnsi="Times New Roman" w:cs="Times New Roman"/>
          <w:sz w:val="28"/>
          <w:szCs w:val="28"/>
        </w:rPr>
        <w:t xml:space="preserve">Предоставленных для личного подсобного хозяйства, садоводства, огородничества или животноводства. </w:t>
      </w:r>
    </w:p>
    <w:p w:rsidR="00AB2802" w:rsidRPr="00476CD7" w:rsidRDefault="00AB2802" w:rsidP="00F614D6">
      <w:pPr>
        <w:pStyle w:val="ListParagraph"/>
        <w:numPr>
          <w:ilvl w:val="0"/>
          <w:numId w:val="3"/>
        </w:numPr>
        <w:spacing w:after="0" w:line="360" w:lineRule="auto"/>
        <w:ind w:left="851" w:hanging="284"/>
        <w:jc w:val="both"/>
        <w:rPr>
          <w:rFonts w:ascii="Times New Roman" w:hAnsi="Times New Roman" w:cs="Times New Roman"/>
          <w:sz w:val="28"/>
          <w:szCs w:val="28"/>
        </w:rPr>
      </w:pPr>
      <w:r w:rsidRPr="00476CD7">
        <w:rPr>
          <w:rFonts w:ascii="Times New Roman" w:hAnsi="Times New Roman" w:cs="Times New Roman"/>
          <w:sz w:val="28"/>
          <w:szCs w:val="28"/>
        </w:rPr>
        <w:t xml:space="preserve">1,5% в отношении прочих земельных участков. </w:t>
      </w:r>
    </w:p>
    <w:p w:rsidR="00AB2802" w:rsidRPr="00476CD7" w:rsidRDefault="00AB2802" w:rsidP="00F614D6">
      <w:pPr>
        <w:spacing w:line="360" w:lineRule="auto"/>
        <w:ind w:firstLine="708"/>
        <w:jc w:val="both"/>
        <w:rPr>
          <w:sz w:val="28"/>
          <w:szCs w:val="28"/>
        </w:rPr>
      </w:pPr>
    </w:p>
    <w:p w:rsidR="00AB2802" w:rsidRPr="00476CD7" w:rsidRDefault="00AB2802" w:rsidP="00F614D6">
      <w:pPr>
        <w:spacing w:line="360" w:lineRule="auto"/>
        <w:ind w:firstLine="708"/>
        <w:jc w:val="both"/>
        <w:rPr>
          <w:sz w:val="28"/>
          <w:szCs w:val="28"/>
        </w:rPr>
      </w:pPr>
      <w:r w:rsidRPr="00476CD7">
        <w:rPr>
          <w:sz w:val="28"/>
          <w:szCs w:val="28"/>
        </w:rPr>
        <w:t xml:space="preserve">Сегодня, в условиях рыночной экономики, подразумевающих существование института частной собственности на недвижимость и на землю необходимо правовое регулирование градостроительной деятельности. В советской системе такого понятия не было, институт частной собственности на недвижимость был отвергнут, а взамен него функционировал принцип сосредоточения всех ресурсов в руках государства. [1] </w:t>
      </w:r>
    </w:p>
    <w:p w:rsidR="00AB2802" w:rsidRPr="00476CD7" w:rsidRDefault="00AB2802" w:rsidP="00F614D6">
      <w:pPr>
        <w:spacing w:line="360" w:lineRule="auto"/>
        <w:ind w:firstLine="708"/>
        <w:jc w:val="both"/>
        <w:rPr>
          <w:sz w:val="28"/>
          <w:szCs w:val="28"/>
        </w:rPr>
      </w:pPr>
      <w:r w:rsidRPr="00476CD7">
        <w:rPr>
          <w:sz w:val="28"/>
          <w:szCs w:val="28"/>
        </w:rPr>
        <w:t>Переход на рыночные отношения в нашей стране и принципиальные изменения в формах собственности на землю потребовали, в свою очередь, разработки новых принципов и новых подходов к управлению земельными ресурсами города. В условиях перехода от централизованной рыночной системы, в которой все земли были государственными, к демократической, где возникает большое количество собственников, пользователей и арендаторов участков, зданий и помещений требуется изменение «правил игры», в основу которых должны быть положены интересы граждан, владельцев недвижимости, инвесторов, частных, акционерных и других компаний и фирм.</w:t>
      </w:r>
    </w:p>
    <w:p w:rsidR="00AB2802" w:rsidRPr="00476CD7" w:rsidRDefault="00AB2802" w:rsidP="00F614D6">
      <w:pPr>
        <w:spacing w:line="360" w:lineRule="auto"/>
        <w:ind w:firstLine="708"/>
        <w:jc w:val="both"/>
        <w:rPr>
          <w:sz w:val="28"/>
          <w:szCs w:val="28"/>
        </w:rPr>
      </w:pPr>
      <w:r w:rsidRPr="00476CD7">
        <w:rPr>
          <w:sz w:val="28"/>
          <w:szCs w:val="28"/>
        </w:rPr>
        <w:t>В условиях рынка недвижимости неизбежным и универсальным способом градорегулирования, который одновременно дает экономическую свободу частным правообладателем и, в тоже время, ограничивает ее, является применение в городе правил землепользования и застройки. [2] Когда абсолютное большинство объемов строительства создается деятельностью частных экономических субъектов, свободную экономическую деятельность возможно обеспечить только путем установления различных ограничений и рамок такой деятельности. Данные ограничения, могут быть установлены путем принятия юридически значимых градостроительных регламентов в рамках правил землепользования и застройки, обязательных для исполнения всеми.</w:t>
      </w:r>
    </w:p>
    <w:p w:rsidR="00AB2802" w:rsidRPr="00476CD7" w:rsidRDefault="00AB2802" w:rsidP="00F614D6">
      <w:pPr>
        <w:spacing w:line="360" w:lineRule="auto"/>
        <w:ind w:firstLine="708"/>
        <w:jc w:val="both"/>
        <w:rPr>
          <w:sz w:val="28"/>
          <w:szCs w:val="28"/>
        </w:rPr>
      </w:pPr>
      <w:r w:rsidRPr="00476CD7">
        <w:rPr>
          <w:sz w:val="28"/>
          <w:szCs w:val="28"/>
        </w:rPr>
        <w:t xml:space="preserve">Правовой механизм установления градостроительных регламентов приводит в действие различные экономические механизмы, в т.ч. совершенствует систему налогов и приводит в действие механизм несоответствующего использования территорий который в отсутствии правовой составляющей не заработает. </w:t>
      </w:r>
    </w:p>
    <w:p w:rsidR="00AB2802" w:rsidRPr="00476CD7" w:rsidRDefault="00AB2802" w:rsidP="00F614D6">
      <w:pPr>
        <w:spacing w:line="360" w:lineRule="auto"/>
        <w:ind w:firstLine="708"/>
        <w:jc w:val="both"/>
        <w:rPr>
          <w:sz w:val="28"/>
          <w:szCs w:val="28"/>
        </w:rPr>
      </w:pPr>
      <w:r w:rsidRPr="00476CD7">
        <w:rPr>
          <w:sz w:val="28"/>
          <w:szCs w:val="28"/>
        </w:rPr>
        <w:t>В документах зонирования содержится правовая норма – «несоответствующее использование». Согласно этой норме те объекты недвижимости, которые существовали до введения документов зонирования и чьи характеристики и параметры использования расходятся с регламентами зонирования, объявляются несоответствующими и продолжают существовать в особом режиме. Они могут использоваться и поддерживаться при условии, что степень несоответствия с документами зонирования не будет возрастать. При этом любое последующее изменение этих объектов должно будет происходить только в направлении приведения их в соответствие с документами зонирования.</w:t>
      </w:r>
    </w:p>
    <w:p w:rsidR="00AB2802" w:rsidRPr="00476CD7" w:rsidRDefault="00AB2802" w:rsidP="00F614D6">
      <w:pPr>
        <w:spacing w:line="360" w:lineRule="auto"/>
        <w:ind w:firstLine="708"/>
        <w:jc w:val="both"/>
        <w:rPr>
          <w:sz w:val="28"/>
          <w:szCs w:val="28"/>
        </w:rPr>
      </w:pPr>
      <w:r w:rsidRPr="00476CD7">
        <w:rPr>
          <w:sz w:val="28"/>
          <w:szCs w:val="28"/>
        </w:rPr>
        <w:t xml:space="preserve">Довольно распространенная в отечественных городах ситуация: дымящий завод в центре города. Он приватизирован, земельный участок выкуплен, но город хочет на этом месте создать общественно-деловой центр, и разместить на данной территории безвредные, с экологической точки зрения, организации, работающие в сфере банковского обслуживания или страхования, торговые центры, кафе или рестораны, санитарно-защитная зона которых заведомо меньше, нежели у предприятия производственной деятельности. Эффективная система налогообложения и правильное формирование карты градостроительного зонирования позволяет добиться таких результатов. Однако стоит сделать оговорку на то, что разрабатывать и принимать решения о применении механизма «несоответствующего использования» к каким либо территориям или объектам экономической деятельности (предприятиям) нужно очень аккуратно и осторожно. Здесь всегда затрагиваются частные интересы субъектов экономической деятельности; одни ущемляются в своих правах на частную собственность, притом, что положение других улучшается, в силу различных обстоятельств.    </w:t>
      </w:r>
    </w:p>
    <w:p w:rsidR="00AB2802" w:rsidRPr="00476CD7" w:rsidRDefault="00AB2802" w:rsidP="00F614D6">
      <w:pPr>
        <w:spacing w:line="360" w:lineRule="auto"/>
        <w:ind w:firstLine="708"/>
        <w:jc w:val="both"/>
        <w:rPr>
          <w:sz w:val="28"/>
          <w:szCs w:val="28"/>
        </w:rPr>
      </w:pPr>
      <w:r w:rsidRPr="00476CD7">
        <w:rPr>
          <w:sz w:val="28"/>
          <w:szCs w:val="28"/>
        </w:rPr>
        <w:t xml:space="preserve">Положительный опыт применения института несоответствующего использования есть в г. Липецке, где произошел «вынос» из центральной части города автотранспортного предприятия. Липецк – промышленный центр с населением более полумиллиона человек, который по праву носит имя города металлургов. Промышленный сектор в городе представлен пятью крупными предприятиями, не все из которых можно назвать эффективными. Основным градообразующим предприятием является Новолипецкий металлургический комбинат – крупнейшее предприятие в городе и регионе. Генеральным планом, планом социально-экономического развития была предусмотрена стратегия развития и привлечения в город «невредных» предприятий с санитарно-защитной зоной 50-100 м², поскольку сегодня город перенасыщен промышленным производством. При реализации такого сценария, у города появится возможность преодолеть моноотраслевой характер экономики, где ведущим предприятием является НЛМК. </w:t>
      </w:r>
    </w:p>
    <w:p w:rsidR="00AB2802" w:rsidRPr="00476CD7" w:rsidRDefault="00AB2802" w:rsidP="00970BCD">
      <w:pPr>
        <w:spacing w:line="360" w:lineRule="auto"/>
        <w:ind w:firstLine="708"/>
        <w:jc w:val="both"/>
        <w:rPr>
          <w:sz w:val="28"/>
          <w:szCs w:val="28"/>
        </w:rPr>
      </w:pPr>
      <w:r w:rsidRPr="00476CD7">
        <w:rPr>
          <w:sz w:val="28"/>
          <w:szCs w:val="28"/>
        </w:rPr>
        <w:t xml:space="preserve">Генеральным планом города было предложено зону размещения промышленных объектов в центральной части города перепрофилировать в территорию общественно-деловой застройки и данное решение было зафиксировано в Правилах землепользования и застройки. На территорию промышленных объектов был наложен градостроительный регламент общественно-деловой зоны О-3 – «зоны обслуживания и деловой активности районного и местного значения». Желаемый результат был получен – вынос предприятия состоялся. Однако пока, к сожалению, нельзя сказать, что это стопроцентный результат работы института «несоответствующего использования», а скорее такой результат получился не благодаря, а вопреки сложившейся системе.  </w:t>
      </w:r>
    </w:p>
    <w:p w:rsidR="00AB2802" w:rsidRPr="00476CD7" w:rsidRDefault="00AB2802" w:rsidP="00F614D6">
      <w:pPr>
        <w:spacing w:line="360" w:lineRule="auto"/>
        <w:ind w:firstLine="708"/>
        <w:jc w:val="both"/>
        <w:rPr>
          <w:sz w:val="28"/>
          <w:szCs w:val="28"/>
        </w:rPr>
      </w:pPr>
      <w:r w:rsidRPr="00476CD7">
        <w:rPr>
          <w:sz w:val="28"/>
          <w:szCs w:val="28"/>
        </w:rPr>
        <w:t xml:space="preserve">В теории, главным стимулом института «несоответствующего использования» должен быть земельный налог, рассчитываемый по нормативному использованию территории в соответствии с градостроительными регламентами Правил землепользования и застройки. Предприятию должно становится невыгодно платить высокие налоги при невозможности своего развития и реконструкции (за исключением случаев, когда это изменение или реконструкция происходит в направлении приведения в соответствие с документами зонирования). На практике, в большинстве случаев мы видим расчет земельного налога по текущему использованию земельного участка в независимости от предписаний градрегламентов. В результате, платежи по земельному налогу остаются на прежнем уровне, а эффективность экономических стимулов несоответствующего использования стремится к нулю.        </w:t>
      </w:r>
    </w:p>
    <w:p w:rsidR="00AB2802" w:rsidRPr="00476CD7" w:rsidRDefault="00AB2802" w:rsidP="00F614D6">
      <w:pPr>
        <w:spacing w:line="360" w:lineRule="auto"/>
        <w:ind w:firstLine="708"/>
        <w:jc w:val="both"/>
        <w:rPr>
          <w:sz w:val="28"/>
          <w:szCs w:val="28"/>
        </w:rPr>
      </w:pPr>
      <w:r w:rsidRPr="00476CD7">
        <w:rPr>
          <w:sz w:val="28"/>
          <w:szCs w:val="28"/>
        </w:rPr>
        <w:t xml:space="preserve">Возвращаясь к Липецку, здесь после установления градостроительного регламента жилых зон и зон деловой активности на территорию, где было расположено автотранспортное предприятие, оно фактически стало «несоответствующим». Предприятие потеряло возможность своего расширения или реконструкции, однако, экономические механизмы «несоответствующего использования» не пришли в действие в полном объеме, поскольку сумма земельного налога оставалась прежней. Как упоминалось выше, кадастровая оценки земли определяется, в том числе с учетом функционального использования территории, поэтому если на территории расположено промышленное предприятие – кадастровая стоимость одна, если здесь расположено жилье или другие объекты – стоимость другая. Но земельный налог взимается по текущему использованию, а не по разрешенным видам. Если бы в нашем случае с автоколонной, после установления «несоответствующего использования территории» налоговая база формировалась бы по разрешенным видам использования, возможно желаемый вынос предприятия состоялся бы быстрее. </w:t>
      </w:r>
    </w:p>
    <w:p w:rsidR="00AB2802" w:rsidRPr="00476CD7" w:rsidRDefault="00AB2802" w:rsidP="00F614D6">
      <w:pPr>
        <w:spacing w:line="360" w:lineRule="auto"/>
        <w:ind w:firstLine="708"/>
        <w:jc w:val="both"/>
        <w:rPr>
          <w:sz w:val="28"/>
          <w:szCs w:val="28"/>
        </w:rPr>
      </w:pPr>
      <w:r w:rsidRPr="00476CD7">
        <w:rPr>
          <w:sz w:val="28"/>
          <w:szCs w:val="28"/>
        </w:rPr>
        <w:t xml:space="preserve">В таблице 1 приведен расчет возможных вариантов платежей по земельного налогу для автотранспортного предприятия. Налогооблагаемая база – кадастровая стоимость земельных участков, определенная с учетом функционального использования территории.  </w:t>
      </w:r>
    </w:p>
    <w:p w:rsidR="00AB2802" w:rsidRPr="00476CD7" w:rsidRDefault="00AB2802" w:rsidP="001F2254">
      <w:pPr>
        <w:spacing w:line="360" w:lineRule="auto"/>
        <w:rPr>
          <w:b/>
          <w:bCs/>
          <w:sz w:val="28"/>
          <w:szCs w:val="28"/>
        </w:rPr>
      </w:pPr>
    </w:p>
    <w:p w:rsidR="00AB2802" w:rsidRPr="00476CD7" w:rsidRDefault="00AB2802" w:rsidP="001F2254">
      <w:pPr>
        <w:spacing w:line="360" w:lineRule="auto"/>
        <w:ind w:firstLine="709"/>
        <w:jc w:val="right"/>
        <w:rPr>
          <w:b/>
          <w:bCs/>
          <w:sz w:val="28"/>
          <w:szCs w:val="28"/>
        </w:rPr>
      </w:pPr>
      <w:r w:rsidRPr="00476CD7">
        <w:rPr>
          <w:b/>
          <w:bCs/>
          <w:sz w:val="28"/>
          <w:szCs w:val="28"/>
        </w:rPr>
        <w:t>Таблица 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392"/>
        <w:gridCol w:w="2393"/>
        <w:gridCol w:w="2393"/>
        <w:gridCol w:w="2393"/>
      </w:tblGrid>
      <w:tr w:rsidR="00AB2802" w:rsidRPr="00476CD7">
        <w:tc>
          <w:tcPr>
            <w:tcW w:w="2392" w:type="dxa"/>
          </w:tcPr>
          <w:p w:rsidR="00AB2802" w:rsidRPr="00476CD7" w:rsidRDefault="00AB2802" w:rsidP="00BF03AF">
            <w:pPr>
              <w:jc w:val="both"/>
              <w:rPr>
                <w:b/>
                <w:bCs/>
                <w:sz w:val="28"/>
                <w:szCs w:val="28"/>
              </w:rPr>
            </w:pPr>
            <w:r w:rsidRPr="00476CD7">
              <w:rPr>
                <w:b/>
                <w:bCs/>
                <w:sz w:val="28"/>
                <w:szCs w:val="28"/>
              </w:rPr>
              <w:t>Адрес объекта:</w:t>
            </w:r>
          </w:p>
        </w:tc>
        <w:tc>
          <w:tcPr>
            <w:tcW w:w="2393" w:type="dxa"/>
          </w:tcPr>
          <w:p w:rsidR="00AB2802" w:rsidRPr="00476CD7" w:rsidRDefault="00AB2802" w:rsidP="00BF03AF">
            <w:pPr>
              <w:jc w:val="both"/>
              <w:rPr>
                <w:b/>
                <w:bCs/>
                <w:sz w:val="28"/>
                <w:szCs w:val="28"/>
              </w:rPr>
            </w:pPr>
            <w:r w:rsidRPr="00476CD7">
              <w:rPr>
                <w:b/>
                <w:bCs/>
                <w:sz w:val="28"/>
                <w:szCs w:val="28"/>
              </w:rPr>
              <w:t>Проспект Победы</w:t>
            </w:r>
          </w:p>
          <w:p w:rsidR="00AB2802" w:rsidRPr="00476CD7" w:rsidRDefault="00AB2802" w:rsidP="00BF03AF">
            <w:pPr>
              <w:jc w:val="both"/>
              <w:rPr>
                <w:sz w:val="28"/>
                <w:szCs w:val="28"/>
              </w:rPr>
            </w:pPr>
            <w:r w:rsidRPr="00476CD7">
              <w:rPr>
                <w:sz w:val="28"/>
                <w:szCs w:val="28"/>
              </w:rPr>
              <w:t>(размещение автоколонны, в центральной части города)</w:t>
            </w:r>
          </w:p>
        </w:tc>
        <w:tc>
          <w:tcPr>
            <w:tcW w:w="2393" w:type="dxa"/>
          </w:tcPr>
          <w:p w:rsidR="00AB2802" w:rsidRPr="00476CD7" w:rsidRDefault="00AB2802" w:rsidP="00BF03AF">
            <w:pPr>
              <w:jc w:val="both"/>
              <w:rPr>
                <w:b/>
                <w:bCs/>
                <w:sz w:val="28"/>
                <w:szCs w:val="28"/>
              </w:rPr>
            </w:pPr>
            <w:r w:rsidRPr="00476CD7">
              <w:rPr>
                <w:b/>
                <w:bCs/>
                <w:sz w:val="28"/>
                <w:szCs w:val="28"/>
              </w:rPr>
              <w:t>Проспект Победы</w:t>
            </w:r>
          </w:p>
          <w:p w:rsidR="00AB2802" w:rsidRPr="00476CD7" w:rsidRDefault="00AB2802" w:rsidP="00BF03AF">
            <w:pPr>
              <w:jc w:val="both"/>
              <w:rPr>
                <w:sz w:val="28"/>
                <w:szCs w:val="28"/>
              </w:rPr>
            </w:pPr>
            <w:r w:rsidRPr="00476CD7">
              <w:rPr>
                <w:sz w:val="28"/>
                <w:szCs w:val="28"/>
              </w:rPr>
              <w:t>(размещение объектов обслуживания и деловой активности)</w:t>
            </w:r>
          </w:p>
        </w:tc>
        <w:tc>
          <w:tcPr>
            <w:tcW w:w="2393" w:type="dxa"/>
          </w:tcPr>
          <w:p w:rsidR="00AB2802" w:rsidRPr="00476CD7" w:rsidRDefault="00AB2802" w:rsidP="00BF03AF">
            <w:pPr>
              <w:jc w:val="both"/>
              <w:rPr>
                <w:b/>
                <w:bCs/>
                <w:sz w:val="28"/>
                <w:szCs w:val="28"/>
              </w:rPr>
            </w:pPr>
            <w:r w:rsidRPr="00476CD7">
              <w:rPr>
                <w:b/>
                <w:bCs/>
                <w:sz w:val="28"/>
                <w:szCs w:val="28"/>
              </w:rPr>
              <w:t>Ул. Феросплавная</w:t>
            </w:r>
          </w:p>
          <w:p w:rsidR="00AB2802" w:rsidRPr="00476CD7" w:rsidRDefault="00AB2802" w:rsidP="00BF03AF">
            <w:pPr>
              <w:jc w:val="both"/>
              <w:rPr>
                <w:sz w:val="28"/>
                <w:szCs w:val="28"/>
              </w:rPr>
            </w:pPr>
            <w:r w:rsidRPr="00476CD7">
              <w:rPr>
                <w:sz w:val="28"/>
                <w:szCs w:val="28"/>
              </w:rPr>
              <w:t>(размещение автоколонны, в промышленной зоне по ПЗЗ)</w:t>
            </w:r>
          </w:p>
        </w:tc>
      </w:tr>
      <w:tr w:rsidR="00AB2802" w:rsidRPr="00476CD7">
        <w:tc>
          <w:tcPr>
            <w:tcW w:w="2392" w:type="dxa"/>
          </w:tcPr>
          <w:p w:rsidR="00AB2802" w:rsidRPr="00476CD7" w:rsidRDefault="00AB2802" w:rsidP="00BF03AF">
            <w:pPr>
              <w:jc w:val="both"/>
              <w:rPr>
                <w:sz w:val="28"/>
                <w:szCs w:val="28"/>
              </w:rPr>
            </w:pPr>
            <w:r w:rsidRPr="00476CD7">
              <w:rPr>
                <w:sz w:val="28"/>
                <w:szCs w:val="28"/>
              </w:rPr>
              <w:t>Площадь земельного участка</w:t>
            </w:r>
          </w:p>
        </w:tc>
        <w:tc>
          <w:tcPr>
            <w:tcW w:w="2393" w:type="dxa"/>
          </w:tcPr>
          <w:p w:rsidR="00AB2802" w:rsidRPr="00476CD7" w:rsidRDefault="00AB2802" w:rsidP="00BF03AF">
            <w:pPr>
              <w:jc w:val="both"/>
              <w:rPr>
                <w:sz w:val="28"/>
                <w:szCs w:val="28"/>
              </w:rPr>
            </w:pPr>
            <w:r w:rsidRPr="00476CD7">
              <w:rPr>
                <w:sz w:val="28"/>
                <w:szCs w:val="28"/>
              </w:rPr>
              <w:t>5,1 га</w:t>
            </w:r>
          </w:p>
        </w:tc>
        <w:tc>
          <w:tcPr>
            <w:tcW w:w="2393" w:type="dxa"/>
          </w:tcPr>
          <w:p w:rsidR="00AB2802" w:rsidRPr="00476CD7" w:rsidRDefault="00AB2802" w:rsidP="00BF03AF">
            <w:pPr>
              <w:jc w:val="both"/>
              <w:rPr>
                <w:sz w:val="28"/>
                <w:szCs w:val="28"/>
              </w:rPr>
            </w:pPr>
            <w:r w:rsidRPr="00476CD7">
              <w:rPr>
                <w:sz w:val="28"/>
                <w:szCs w:val="28"/>
              </w:rPr>
              <w:t>5,1 га</w:t>
            </w:r>
          </w:p>
        </w:tc>
        <w:tc>
          <w:tcPr>
            <w:tcW w:w="2393" w:type="dxa"/>
          </w:tcPr>
          <w:p w:rsidR="00AB2802" w:rsidRPr="00476CD7" w:rsidRDefault="00AB2802" w:rsidP="00BF03AF">
            <w:pPr>
              <w:jc w:val="both"/>
              <w:rPr>
                <w:sz w:val="28"/>
                <w:szCs w:val="28"/>
              </w:rPr>
            </w:pPr>
            <w:r w:rsidRPr="00476CD7">
              <w:rPr>
                <w:sz w:val="28"/>
                <w:szCs w:val="28"/>
              </w:rPr>
              <w:t>4,7га</w:t>
            </w:r>
          </w:p>
        </w:tc>
      </w:tr>
      <w:tr w:rsidR="00AB2802" w:rsidRPr="00476CD7">
        <w:tc>
          <w:tcPr>
            <w:tcW w:w="2392" w:type="dxa"/>
            <w:vAlign w:val="bottom"/>
          </w:tcPr>
          <w:p w:rsidR="00AB2802" w:rsidRPr="00476CD7" w:rsidRDefault="00AB2802" w:rsidP="00A72771">
            <w:pPr>
              <w:rPr>
                <w:color w:val="000000"/>
                <w:sz w:val="28"/>
                <w:szCs w:val="28"/>
              </w:rPr>
            </w:pPr>
            <w:r w:rsidRPr="00476CD7">
              <w:rPr>
                <w:color w:val="000000"/>
                <w:sz w:val="28"/>
                <w:szCs w:val="28"/>
              </w:rPr>
              <w:t>Кадастровая стоимость земельного участка (руб.)</w:t>
            </w:r>
          </w:p>
        </w:tc>
        <w:tc>
          <w:tcPr>
            <w:tcW w:w="2393" w:type="dxa"/>
            <w:vAlign w:val="bottom"/>
          </w:tcPr>
          <w:p w:rsidR="00AB2802" w:rsidRPr="00476CD7" w:rsidRDefault="00AB2802" w:rsidP="00BF03AF">
            <w:pPr>
              <w:jc w:val="right"/>
              <w:rPr>
                <w:color w:val="000000"/>
                <w:sz w:val="28"/>
                <w:szCs w:val="28"/>
              </w:rPr>
            </w:pPr>
            <w:r w:rsidRPr="00476CD7">
              <w:rPr>
                <w:color w:val="000000"/>
                <w:sz w:val="28"/>
                <w:szCs w:val="28"/>
              </w:rPr>
              <w:t>70 711 000,00р.</w:t>
            </w:r>
          </w:p>
        </w:tc>
        <w:tc>
          <w:tcPr>
            <w:tcW w:w="2393" w:type="dxa"/>
            <w:vAlign w:val="bottom"/>
          </w:tcPr>
          <w:p w:rsidR="00AB2802" w:rsidRPr="00476CD7" w:rsidRDefault="00AB2802" w:rsidP="00BF03AF">
            <w:pPr>
              <w:jc w:val="right"/>
              <w:rPr>
                <w:b/>
                <w:bCs/>
                <w:color w:val="000000"/>
                <w:sz w:val="28"/>
                <w:szCs w:val="28"/>
              </w:rPr>
            </w:pPr>
            <w:r w:rsidRPr="00476CD7">
              <w:rPr>
                <w:b/>
                <w:bCs/>
                <w:color w:val="000000"/>
                <w:sz w:val="28"/>
                <w:szCs w:val="28"/>
              </w:rPr>
              <w:t>151 811 440,20р.</w:t>
            </w:r>
          </w:p>
        </w:tc>
        <w:tc>
          <w:tcPr>
            <w:tcW w:w="2393" w:type="dxa"/>
            <w:vAlign w:val="bottom"/>
          </w:tcPr>
          <w:p w:rsidR="00AB2802" w:rsidRPr="00476CD7" w:rsidRDefault="00AB2802" w:rsidP="00BF03AF">
            <w:pPr>
              <w:jc w:val="right"/>
              <w:rPr>
                <w:color w:val="000000"/>
                <w:sz w:val="28"/>
                <w:szCs w:val="28"/>
              </w:rPr>
            </w:pPr>
            <w:r w:rsidRPr="00476CD7">
              <w:rPr>
                <w:color w:val="000000"/>
                <w:sz w:val="28"/>
                <w:szCs w:val="28"/>
              </w:rPr>
              <w:t>49 587 800,00р.</w:t>
            </w:r>
          </w:p>
        </w:tc>
      </w:tr>
      <w:tr w:rsidR="00AB2802" w:rsidRPr="00476CD7">
        <w:tc>
          <w:tcPr>
            <w:tcW w:w="2392" w:type="dxa"/>
            <w:vAlign w:val="bottom"/>
          </w:tcPr>
          <w:p w:rsidR="00AB2802" w:rsidRPr="00476CD7" w:rsidRDefault="00AB2802" w:rsidP="00A72771">
            <w:pPr>
              <w:rPr>
                <w:color w:val="000000"/>
                <w:sz w:val="28"/>
                <w:szCs w:val="28"/>
              </w:rPr>
            </w:pPr>
            <w:r w:rsidRPr="00476CD7">
              <w:rPr>
                <w:color w:val="000000"/>
                <w:sz w:val="28"/>
                <w:szCs w:val="28"/>
              </w:rPr>
              <w:t>Ставка земельного налога</w:t>
            </w:r>
          </w:p>
        </w:tc>
        <w:tc>
          <w:tcPr>
            <w:tcW w:w="2393" w:type="dxa"/>
            <w:vAlign w:val="bottom"/>
          </w:tcPr>
          <w:p w:rsidR="00AB2802" w:rsidRPr="00476CD7" w:rsidRDefault="00AB2802" w:rsidP="00BF03AF">
            <w:pPr>
              <w:jc w:val="right"/>
              <w:rPr>
                <w:color w:val="000000"/>
                <w:sz w:val="28"/>
                <w:szCs w:val="28"/>
              </w:rPr>
            </w:pPr>
            <w:r w:rsidRPr="00476CD7">
              <w:rPr>
                <w:color w:val="000000"/>
                <w:sz w:val="28"/>
                <w:szCs w:val="28"/>
              </w:rPr>
              <w:t>1,5%</w:t>
            </w:r>
          </w:p>
        </w:tc>
        <w:tc>
          <w:tcPr>
            <w:tcW w:w="2393" w:type="dxa"/>
            <w:vAlign w:val="bottom"/>
          </w:tcPr>
          <w:p w:rsidR="00AB2802" w:rsidRPr="00476CD7" w:rsidRDefault="00AB2802" w:rsidP="00BF03AF">
            <w:pPr>
              <w:jc w:val="right"/>
              <w:rPr>
                <w:color w:val="000000"/>
                <w:sz w:val="28"/>
                <w:szCs w:val="28"/>
              </w:rPr>
            </w:pPr>
            <w:r w:rsidRPr="00476CD7">
              <w:rPr>
                <w:color w:val="000000"/>
                <w:sz w:val="28"/>
                <w:szCs w:val="28"/>
              </w:rPr>
              <w:t>1,5%</w:t>
            </w:r>
          </w:p>
        </w:tc>
        <w:tc>
          <w:tcPr>
            <w:tcW w:w="2393" w:type="dxa"/>
            <w:vAlign w:val="bottom"/>
          </w:tcPr>
          <w:p w:rsidR="00AB2802" w:rsidRPr="00476CD7" w:rsidRDefault="00AB2802" w:rsidP="00BF03AF">
            <w:pPr>
              <w:jc w:val="right"/>
              <w:rPr>
                <w:color w:val="000000"/>
                <w:sz w:val="28"/>
                <w:szCs w:val="28"/>
              </w:rPr>
            </w:pPr>
            <w:r w:rsidRPr="00476CD7">
              <w:rPr>
                <w:color w:val="000000"/>
                <w:sz w:val="28"/>
                <w:szCs w:val="28"/>
              </w:rPr>
              <w:t>1,5%</w:t>
            </w:r>
          </w:p>
        </w:tc>
      </w:tr>
      <w:tr w:rsidR="00AB2802" w:rsidRPr="00476CD7">
        <w:tc>
          <w:tcPr>
            <w:tcW w:w="2392" w:type="dxa"/>
            <w:vAlign w:val="bottom"/>
          </w:tcPr>
          <w:p w:rsidR="00AB2802" w:rsidRPr="00476CD7" w:rsidRDefault="00AB2802" w:rsidP="00A72771">
            <w:pPr>
              <w:rPr>
                <w:color w:val="000000"/>
                <w:sz w:val="28"/>
                <w:szCs w:val="28"/>
              </w:rPr>
            </w:pPr>
            <w:r w:rsidRPr="00476CD7">
              <w:rPr>
                <w:color w:val="000000"/>
                <w:sz w:val="28"/>
                <w:szCs w:val="28"/>
              </w:rPr>
              <w:t>Размер земельного налога (руб.)</w:t>
            </w:r>
          </w:p>
        </w:tc>
        <w:tc>
          <w:tcPr>
            <w:tcW w:w="2393" w:type="dxa"/>
            <w:vAlign w:val="bottom"/>
          </w:tcPr>
          <w:p w:rsidR="00AB2802" w:rsidRPr="00476CD7" w:rsidRDefault="00AB2802" w:rsidP="00BF03AF">
            <w:pPr>
              <w:jc w:val="right"/>
              <w:rPr>
                <w:color w:val="000000"/>
                <w:sz w:val="28"/>
                <w:szCs w:val="28"/>
              </w:rPr>
            </w:pPr>
            <w:r w:rsidRPr="00476CD7">
              <w:rPr>
                <w:color w:val="000000"/>
                <w:sz w:val="28"/>
                <w:szCs w:val="28"/>
              </w:rPr>
              <w:t>1 060 665,00р.</w:t>
            </w:r>
          </w:p>
        </w:tc>
        <w:tc>
          <w:tcPr>
            <w:tcW w:w="2393" w:type="dxa"/>
            <w:vAlign w:val="bottom"/>
          </w:tcPr>
          <w:p w:rsidR="00AB2802" w:rsidRPr="00476CD7" w:rsidRDefault="00AB2802" w:rsidP="00BF03AF">
            <w:pPr>
              <w:jc w:val="right"/>
              <w:rPr>
                <w:color w:val="000000"/>
                <w:sz w:val="28"/>
                <w:szCs w:val="28"/>
              </w:rPr>
            </w:pPr>
            <w:r w:rsidRPr="00476CD7">
              <w:rPr>
                <w:color w:val="000000"/>
                <w:sz w:val="28"/>
                <w:szCs w:val="28"/>
              </w:rPr>
              <w:t>2 277 171,60р.</w:t>
            </w:r>
          </w:p>
        </w:tc>
        <w:tc>
          <w:tcPr>
            <w:tcW w:w="2393" w:type="dxa"/>
            <w:vAlign w:val="bottom"/>
          </w:tcPr>
          <w:p w:rsidR="00AB2802" w:rsidRPr="00476CD7" w:rsidRDefault="00AB2802" w:rsidP="00BF03AF">
            <w:pPr>
              <w:jc w:val="right"/>
              <w:rPr>
                <w:color w:val="000000"/>
                <w:sz w:val="28"/>
                <w:szCs w:val="28"/>
              </w:rPr>
            </w:pPr>
            <w:r w:rsidRPr="00476CD7">
              <w:rPr>
                <w:color w:val="000000"/>
                <w:sz w:val="28"/>
                <w:szCs w:val="28"/>
              </w:rPr>
              <w:t>743 817,00р.</w:t>
            </w:r>
          </w:p>
        </w:tc>
      </w:tr>
    </w:tbl>
    <w:p w:rsidR="00AB2802" w:rsidRPr="00476CD7" w:rsidRDefault="00AB2802" w:rsidP="0061609E">
      <w:pPr>
        <w:spacing w:line="360" w:lineRule="auto"/>
        <w:jc w:val="both"/>
        <w:rPr>
          <w:sz w:val="28"/>
          <w:szCs w:val="28"/>
        </w:rPr>
      </w:pPr>
    </w:p>
    <w:p w:rsidR="00AB2802" w:rsidRPr="00476CD7" w:rsidRDefault="00AB2802" w:rsidP="00F614D6">
      <w:pPr>
        <w:spacing w:line="360" w:lineRule="auto"/>
        <w:ind w:firstLine="709"/>
        <w:jc w:val="both"/>
        <w:rPr>
          <w:sz w:val="28"/>
          <w:szCs w:val="28"/>
        </w:rPr>
      </w:pPr>
      <w:r w:rsidRPr="00476CD7">
        <w:rPr>
          <w:sz w:val="28"/>
          <w:szCs w:val="28"/>
        </w:rPr>
        <w:t xml:space="preserve">Если в целом оценить ситуацию в городе по показателям кадастровой стоимости земли в разрезе видов разрешенного использования (руб/кв.м.) то можно будет заметить значительные различия стоимости в зависимости от вида использования территории. В таблице 2 показаны средние значения удельных показателей кадастровой стоимости земли города Липецка, в разрезе кадастровых кварталов. </w:t>
      </w:r>
    </w:p>
    <w:p w:rsidR="00AB2802" w:rsidRPr="00476CD7" w:rsidRDefault="00AB2802" w:rsidP="001F2254">
      <w:pPr>
        <w:spacing w:line="360" w:lineRule="auto"/>
        <w:ind w:firstLine="585"/>
        <w:jc w:val="right"/>
        <w:rPr>
          <w:b/>
          <w:bCs/>
          <w:sz w:val="28"/>
          <w:szCs w:val="28"/>
        </w:rPr>
      </w:pPr>
    </w:p>
    <w:p w:rsidR="00AB2802" w:rsidRPr="00476CD7" w:rsidRDefault="00AB2802" w:rsidP="001F2254">
      <w:pPr>
        <w:spacing w:line="360" w:lineRule="auto"/>
        <w:ind w:firstLine="585"/>
        <w:jc w:val="right"/>
        <w:rPr>
          <w:b/>
          <w:bCs/>
          <w:sz w:val="28"/>
          <w:szCs w:val="28"/>
        </w:rPr>
      </w:pPr>
      <w:r w:rsidRPr="00476CD7">
        <w:rPr>
          <w:b/>
          <w:bCs/>
          <w:sz w:val="28"/>
          <w:szCs w:val="28"/>
        </w:rPr>
        <w:t>Таблица 2:</w:t>
      </w:r>
    </w:p>
    <w:tbl>
      <w:tblPr>
        <w:tblW w:w="8318" w:type="dxa"/>
        <w:tblLook w:val="00A0"/>
      </w:tblPr>
      <w:tblGrid>
        <w:gridCol w:w="7260"/>
        <w:gridCol w:w="1800"/>
      </w:tblGrid>
      <w:tr w:rsidR="00AB2802" w:rsidRPr="00476CD7">
        <w:trPr>
          <w:trHeight w:val="525"/>
        </w:trPr>
        <w:tc>
          <w:tcPr>
            <w:tcW w:w="7260" w:type="dxa"/>
            <w:tcBorders>
              <w:top w:val="single" w:sz="4" w:space="0" w:color="auto"/>
              <w:left w:val="single" w:sz="4" w:space="0" w:color="auto"/>
              <w:bottom w:val="single" w:sz="4" w:space="0" w:color="auto"/>
              <w:right w:val="single" w:sz="4" w:space="0" w:color="auto"/>
            </w:tcBorders>
            <w:noWrap/>
            <w:vAlign w:val="bottom"/>
          </w:tcPr>
          <w:p w:rsidR="00AB2802" w:rsidRPr="00476CD7" w:rsidRDefault="00AB2802" w:rsidP="0067467D">
            <w:pPr>
              <w:jc w:val="center"/>
              <w:rPr>
                <w:b/>
                <w:bCs/>
                <w:sz w:val="28"/>
                <w:szCs w:val="28"/>
              </w:rPr>
            </w:pPr>
            <w:r w:rsidRPr="00476CD7">
              <w:rPr>
                <w:b/>
                <w:bCs/>
                <w:sz w:val="28"/>
                <w:szCs w:val="28"/>
              </w:rPr>
              <w:t>Состав видов разрешенного использования:</w:t>
            </w:r>
          </w:p>
        </w:tc>
        <w:tc>
          <w:tcPr>
            <w:tcW w:w="1058" w:type="dxa"/>
            <w:tcBorders>
              <w:top w:val="single" w:sz="4" w:space="0" w:color="auto"/>
              <w:left w:val="nil"/>
              <w:bottom w:val="single" w:sz="4" w:space="0" w:color="auto"/>
              <w:right w:val="single" w:sz="4" w:space="0" w:color="auto"/>
            </w:tcBorders>
            <w:vAlign w:val="bottom"/>
          </w:tcPr>
          <w:p w:rsidR="00AB2802" w:rsidRPr="00476CD7" w:rsidRDefault="00AB2802" w:rsidP="0067467D">
            <w:pPr>
              <w:jc w:val="center"/>
              <w:rPr>
                <w:b/>
                <w:bCs/>
                <w:sz w:val="28"/>
                <w:szCs w:val="28"/>
              </w:rPr>
            </w:pPr>
            <w:r w:rsidRPr="00476CD7">
              <w:rPr>
                <w:b/>
                <w:bCs/>
                <w:sz w:val="28"/>
                <w:szCs w:val="28"/>
              </w:rPr>
              <w:t>кадастровая ст-ть</w:t>
            </w:r>
          </w:p>
        </w:tc>
      </w:tr>
      <w:tr w:rsidR="00AB2802" w:rsidRPr="00476CD7">
        <w:trPr>
          <w:trHeight w:val="300"/>
        </w:trPr>
        <w:tc>
          <w:tcPr>
            <w:tcW w:w="7260" w:type="dxa"/>
            <w:tcBorders>
              <w:top w:val="single" w:sz="4" w:space="0" w:color="auto"/>
              <w:left w:val="single" w:sz="4" w:space="0" w:color="auto"/>
              <w:bottom w:val="single" w:sz="4" w:space="0" w:color="auto"/>
              <w:right w:val="single" w:sz="4" w:space="0" w:color="auto"/>
            </w:tcBorders>
            <w:noWrap/>
            <w:vAlign w:val="bottom"/>
          </w:tcPr>
          <w:p w:rsidR="00AB2802" w:rsidRPr="00476CD7" w:rsidRDefault="00AB2802" w:rsidP="0067467D">
            <w:pPr>
              <w:rPr>
                <w:sz w:val="28"/>
                <w:szCs w:val="28"/>
              </w:rPr>
            </w:pPr>
            <w:r w:rsidRPr="00476CD7">
              <w:rPr>
                <w:sz w:val="28"/>
                <w:szCs w:val="28"/>
              </w:rPr>
              <w:t>земельные участки,  предназначенные для размещения:</w:t>
            </w:r>
          </w:p>
        </w:tc>
        <w:tc>
          <w:tcPr>
            <w:tcW w:w="1058" w:type="dxa"/>
            <w:tcBorders>
              <w:top w:val="nil"/>
              <w:left w:val="nil"/>
              <w:bottom w:val="single" w:sz="4" w:space="0" w:color="auto"/>
              <w:right w:val="single" w:sz="4" w:space="0" w:color="auto"/>
            </w:tcBorders>
            <w:vAlign w:val="bottom"/>
          </w:tcPr>
          <w:p w:rsidR="00AB2802" w:rsidRPr="00476CD7" w:rsidRDefault="00AB2802" w:rsidP="0067467D">
            <w:pPr>
              <w:rPr>
                <w:sz w:val="28"/>
                <w:szCs w:val="28"/>
              </w:rPr>
            </w:pPr>
            <w:r w:rsidRPr="00476CD7">
              <w:rPr>
                <w:sz w:val="28"/>
                <w:szCs w:val="28"/>
              </w:rPr>
              <w:t>Руб./кв.м</w:t>
            </w:r>
          </w:p>
        </w:tc>
      </w:tr>
      <w:tr w:rsidR="00AB2802" w:rsidRPr="00476CD7">
        <w:trPr>
          <w:trHeight w:val="300"/>
        </w:trPr>
        <w:tc>
          <w:tcPr>
            <w:tcW w:w="7260" w:type="dxa"/>
            <w:tcBorders>
              <w:top w:val="single" w:sz="4" w:space="0" w:color="auto"/>
              <w:left w:val="single" w:sz="4" w:space="0" w:color="auto"/>
              <w:bottom w:val="single" w:sz="4" w:space="0" w:color="auto"/>
              <w:right w:val="single" w:sz="4" w:space="0" w:color="auto"/>
            </w:tcBorders>
            <w:vAlign w:val="bottom"/>
          </w:tcPr>
          <w:p w:rsidR="00AB2802" w:rsidRPr="00476CD7" w:rsidRDefault="00AB2802" w:rsidP="0067467D">
            <w:pPr>
              <w:rPr>
                <w:b/>
                <w:bCs/>
                <w:sz w:val="28"/>
                <w:szCs w:val="28"/>
              </w:rPr>
            </w:pPr>
            <w:r w:rsidRPr="00476CD7">
              <w:rPr>
                <w:b/>
                <w:bCs/>
                <w:sz w:val="28"/>
                <w:szCs w:val="28"/>
              </w:rPr>
              <w:t>1.  домов многоэтажной застройки</w:t>
            </w:r>
          </w:p>
        </w:tc>
        <w:tc>
          <w:tcPr>
            <w:tcW w:w="1058" w:type="dxa"/>
            <w:tcBorders>
              <w:top w:val="nil"/>
              <w:left w:val="nil"/>
              <w:bottom w:val="single" w:sz="4" w:space="0" w:color="auto"/>
              <w:right w:val="single" w:sz="4" w:space="0" w:color="auto"/>
            </w:tcBorders>
            <w:noWrap/>
            <w:vAlign w:val="bottom"/>
          </w:tcPr>
          <w:p w:rsidR="00AB2802" w:rsidRPr="00476CD7" w:rsidRDefault="00AB2802" w:rsidP="0067467D">
            <w:pPr>
              <w:rPr>
                <w:b/>
                <w:bCs/>
                <w:color w:val="000000"/>
                <w:sz w:val="28"/>
                <w:szCs w:val="28"/>
              </w:rPr>
            </w:pPr>
            <w:r w:rsidRPr="00476CD7">
              <w:rPr>
                <w:b/>
                <w:bCs/>
                <w:color w:val="000000"/>
                <w:sz w:val="28"/>
                <w:szCs w:val="28"/>
              </w:rPr>
              <w:t>4356,1</w:t>
            </w:r>
          </w:p>
        </w:tc>
      </w:tr>
      <w:tr w:rsidR="00AB2802" w:rsidRPr="00476CD7">
        <w:trPr>
          <w:trHeight w:val="300"/>
        </w:trPr>
        <w:tc>
          <w:tcPr>
            <w:tcW w:w="7260" w:type="dxa"/>
            <w:tcBorders>
              <w:top w:val="single" w:sz="4" w:space="0" w:color="auto"/>
              <w:left w:val="single" w:sz="4" w:space="0" w:color="auto"/>
              <w:bottom w:val="single" w:sz="4" w:space="0" w:color="auto"/>
              <w:right w:val="single" w:sz="4" w:space="0" w:color="auto"/>
            </w:tcBorders>
            <w:vAlign w:val="bottom"/>
          </w:tcPr>
          <w:p w:rsidR="00AB2802" w:rsidRPr="00476CD7" w:rsidRDefault="00AB2802" w:rsidP="0067467D">
            <w:pPr>
              <w:rPr>
                <w:sz w:val="28"/>
                <w:szCs w:val="28"/>
              </w:rPr>
            </w:pPr>
            <w:r w:rsidRPr="00476CD7">
              <w:rPr>
                <w:sz w:val="28"/>
                <w:szCs w:val="28"/>
              </w:rPr>
              <w:t>2. домов индивидуальной жилой застройки</w:t>
            </w:r>
          </w:p>
        </w:tc>
        <w:tc>
          <w:tcPr>
            <w:tcW w:w="1058" w:type="dxa"/>
            <w:tcBorders>
              <w:top w:val="nil"/>
              <w:left w:val="nil"/>
              <w:bottom w:val="single" w:sz="4" w:space="0" w:color="auto"/>
              <w:right w:val="single" w:sz="4" w:space="0" w:color="auto"/>
            </w:tcBorders>
            <w:noWrap/>
            <w:vAlign w:val="bottom"/>
          </w:tcPr>
          <w:p w:rsidR="00AB2802" w:rsidRPr="00476CD7" w:rsidRDefault="00AB2802" w:rsidP="0067467D">
            <w:pPr>
              <w:rPr>
                <w:color w:val="000000"/>
                <w:sz w:val="28"/>
                <w:szCs w:val="28"/>
              </w:rPr>
            </w:pPr>
            <w:r w:rsidRPr="00476CD7">
              <w:rPr>
                <w:color w:val="000000"/>
                <w:sz w:val="28"/>
                <w:szCs w:val="28"/>
              </w:rPr>
              <w:t>970,4058</w:t>
            </w:r>
          </w:p>
        </w:tc>
      </w:tr>
      <w:tr w:rsidR="00AB2802" w:rsidRPr="00476CD7">
        <w:trPr>
          <w:trHeight w:val="300"/>
        </w:trPr>
        <w:tc>
          <w:tcPr>
            <w:tcW w:w="7260" w:type="dxa"/>
            <w:tcBorders>
              <w:top w:val="single" w:sz="4" w:space="0" w:color="auto"/>
              <w:left w:val="single" w:sz="4" w:space="0" w:color="auto"/>
              <w:bottom w:val="single" w:sz="4" w:space="0" w:color="auto"/>
              <w:right w:val="single" w:sz="4" w:space="0" w:color="auto"/>
            </w:tcBorders>
            <w:vAlign w:val="bottom"/>
          </w:tcPr>
          <w:p w:rsidR="00AB2802" w:rsidRPr="00476CD7" w:rsidRDefault="00AB2802" w:rsidP="0067467D">
            <w:pPr>
              <w:rPr>
                <w:sz w:val="28"/>
                <w:szCs w:val="28"/>
              </w:rPr>
            </w:pPr>
            <w:r w:rsidRPr="00476CD7">
              <w:rPr>
                <w:sz w:val="28"/>
                <w:szCs w:val="28"/>
              </w:rPr>
              <w:t>3.  гаражей и автостоянок</w:t>
            </w:r>
          </w:p>
        </w:tc>
        <w:tc>
          <w:tcPr>
            <w:tcW w:w="1058" w:type="dxa"/>
            <w:tcBorders>
              <w:top w:val="nil"/>
              <w:left w:val="nil"/>
              <w:bottom w:val="single" w:sz="4" w:space="0" w:color="auto"/>
              <w:right w:val="single" w:sz="4" w:space="0" w:color="auto"/>
            </w:tcBorders>
            <w:noWrap/>
            <w:vAlign w:val="bottom"/>
          </w:tcPr>
          <w:p w:rsidR="00AB2802" w:rsidRPr="00476CD7" w:rsidRDefault="00AB2802" w:rsidP="0067467D">
            <w:pPr>
              <w:rPr>
                <w:color w:val="000000"/>
                <w:sz w:val="28"/>
                <w:szCs w:val="28"/>
              </w:rPr>
            </w:pPr>
            <w:r w:rsidRPr="00476CD7">
              <w:rPr>
                <w:color w:val="000000"/>
                <w:sz w:val="28"/>
                <w:szCs w:val="28"/>
              </w:rPr>
              <w:t>5410,35</w:t>
            </w:r>
          </w:p>
        </w:tc>
      </w:tr>
      <w:tr w:rsidR="00AB2802" w:rsidRPr="00476CD7">
        <w:trPr>
          <w:trHeight w:val="300"/>
        </w:trPr>
        <w:tc>
          <w:tcPr>
            <w:tcW w:w="7260" w:type="dxa"/>
            <w:tcBorders>
              <w:top w:val="single" w:sz="4" w:space="0" w:color="auto"/>
              <w:left w:val="single" w:sz="4" w:space="0" w:color="auto"/>
              <w:bottom w:val="single" w:sz="4" w:space="0" w:color="auto"/>
              <w:right w:val="single" w:sz="4" w:space="0" w:color="auto"/>
            </w:tcBorders>
            <w:vAlign w:val="bottom"/>
          </w:tcPr>
          <w:p w:rsidR="00AB2802" w:rsidRPr="00476CD7" w:rsidRDefault="00AB2802" w:rsidP="0067467D">
            <w:pPr>
              <w:rPr>
                <w:sz w:val="28"/>
                <w:szCs w:val="28"/>
              </w:rPr>
            </w:pPr>
            <w:r w:rsidRPr="00476CD7">
              <w:rPr>
                <w:sz w:val="28"/>
                <w:szCs w:val="28"/>
              </w:rPr>
              <w:t>4.  находящиеся в составе дачных, садоводческих и огороднических объединений</w:t>
            </w:r>
          </w:p>
        </w:tc>
        <w:tc>
          <w:tcPr>
            <w:tcW w:w="1058" w:type="dxa"/>
            <w:tcBorders>
              <w:top w:val="nil"/>
              <w:left w:val="nil"/>
              <w:bottom w:val="single" w:sz="4" w:space="0" w:color="auto"/>
              <w:right w:val="single" w:sz="4" w:space="0" w:color="auto"/>
            </w:tcBorders>
            <w:noWrap/>
            <w:vAlign w:val="bottom"/>
          </w:tcPr>
          <w:p w:rsidR="00AB2802" w:rsidRPr="00476CD7" w:rsidRDefault="00AB2802" w:rsidP="0067467D">
            <w:pPr>
              <w:rPr>
                <w:color w:val="000000"/>
                <w:sz w:val="28"/>
                <w:szCs w:val="28"/>
              </w:rPr>
            </w:pPr>
            <w:r w:rsidRPr="00476CD7">
              <w:rPr>
                <w:color w:val="000000"/>
                <w:sz w:val="28"/>
                <w:szCs w:val="28"/>
              </w:rPr>
              <w:t>312,9089</w:t>
            </w:r>
          </w:p>
        </w:tc>
      </w:tr>
      <w:tr w:rsidR="00AB2802" w:rsidRPr="00476CD7">
        <w:trPr>
          <w:trHeight w:val="300"/>
        </w:trPr>
        <w:tc>
          <w:tcPr>
            <w:tcW w:w="7260" w:type="dxa"/>
            <w:tcBorders>
              <w:top w:val="single" w:sz="4" w:space="0" w:color="auto"/>
              <w:left w:val="single" w:sz="4" w:space="0" w:color="auto"/>
              <w:bottom w:val="single" w:sz="4" w:space="0" w:color="auto"/>
              <w:right w:val="single" w:sz="4" w:space="0" w:color="auto"/>
            </w:tcBorders>
            <w:vAlign w:val="bottom"/>
          </w:tcPr>
          <w:p w:rsidR="00AB2802" w:rsidRPr="00476CD7" w:rsidRDefault="00AB2802" w:rsidP="0067467D">
            <w:pPr>
              <w:rPr>
                <w:b/>
                <w:bCs/>
                <w:sz w:val="28"/>
                <w:szCs w:val="28"/>
              </w:rPr>
            </w:pPr>
            <w:r w:rsidRPr="00476CD7">
              <w:rPr>
                <w:b/>
                <w:bCs/>
                <w:sz w:val="28"/>
                <w:szCs w:val="28"/>
              </w:rPr>
              <w:t>5. объектов торговли, общественного питания и бытового обслуживания</w:t>
            </w:r>
          </w:p>
        </w:tc>
        <w:tc>
          <w:tcPr>
            <w:tcW w:w="1058" w:type="dxa"/>
            <w:tcBorders>
              <w:top w:val="nil"/>
              <w:left w:val="nil"/>
              <w:bottom w:val="single" w:sz="4" w:space="0" w:color="auto"/>
              <w:right w:val="single" w:sz="4" w:space="0" w:color="auto"/>
            </w:tcBorders>
            <w:noWrap/>
            <w:vAlign w:val="bottom"/>
          </w:tcPr>
          <w:p w:rsidR="00AB2802" w:rsidRPr="00476CD7" w:rsidRDefault="00AB2802" w:rsidP="0067467D">
            <w:pPr>
              <w:rPr>
                <w:b/>
                <w:bCs/>
                <w:color w:val="000000"/>
                <w:sz w:val="28"/>
                <w:szCs w:val="28"/>
              </w:rPr>
            </w:pPr>
            <w:r w:rsidRPr="00476CD7">
              <w:rPr>
                <w:b/>
                <w:bCs/>
                <w:color w:val="000000"/>
                <w:sz w:val="28"/>
                <w:szCs w:val="28"/>
              </w:rPr>
              <w:t>7301,628</w:t>
            </w:r>
          </w:p>
        </w:tc>
      </w:tr>
      <w:tr w:rsidR="00AB2802" w:rsidRPr="00476CD7">
        <w:trPr>
          <w:trHeight w:val="270"/>
        </w:trPr>
        <w:tc>
          <w:tcPr>
            <w:tcW w:w="7260" w:type="dxa"/>
            <w:tcBorders>
              <w:top w:val="single" w:sz="4" w:space="0" w:color="auto"/>
              <w:left w:val="single" w:sz="4" w:space="0" w:color="auto"/>
              <w:bottom w:val="single" w:sz="4" w:space="0" w:color="auto"/>
              <w:right w:val="single" w:sz="4" w:space="0" w:color="auto"/>
            </w:tcBorders>
            <w:vAlign w:val="bottom"/>
          </w:tcPr>
          <w:p w:rsidR="00AB2802" w:rsidRPr="00476CD7" w:rsidRDefault="00AB2802" w:rsidP="0067467D">
            <w:pPr>
              <w:rPr>
                <w:sz w:val="28"/>
                <w:szCs w:val="28"/>
              </w:rPr>
            </w:pPr>
            <w:r w:rsidRPr="00476CD7">
              <w:rPr>
                <w:sz w:val="28"/>
                <w:szCs w:val="28"/>
              </w:rPr>
              <w:t>6.  гостиниц</w:t>
            </w:r>
          </w:p>
        </w:tc>
        <w:tc>
          <w:tcPr>
            <w:tcW w:w="1058" w:type="dxa"/>
            <w:tcBorders>
              <w:top w:val="nil"/>
              <w:left w:val="nil"/>
              <w:bottom w:val="single" w:sz="4" w:space="0" w:color="auto"/>
              <w:right w:val="single" w:sz="4" w:space="0" w:color="auto"/>
            </w:tcBorders>
            <w:noWrap/>
            <w:vAlign w:val="bottom"/>
          </w:tcPr>
          <w:p w:rsidR="00AB2802" w:rsidRPr="00476CD7" w:rsidRDefault="00AB2802" w:rsidP="0067467D">
            <w:pPr>
              <w:rPr>
                <w:color w:val="000000"/>
                <w:sz w:val="28"/>
                <w:szCs w:val="28"/>
              </w:rPr>
            </w:pPr>
            <w:r w:rsidRPr="00476CD7">
              <w:rPr>
                <w:color w:val="000000"/>
                <w:sz w:val="28"/>
                <w:szCs w:val="28"/>
              </w:rPr>
              <w:t>7923,927</w:t>
            </w:r>
          </w:p>
        </w:tc>
      </w:tr>
      <w:tr w:rsidR="00AB2802" w:rsidRPr="00476CD7">
        <w:trPr>
          <w:trHeight w:val="540"/>
        </w:trPr>
        <w:tc>
          <w:tcPr>
            <w:tcW w:w="7260" w:type="dxa"/>
            <w:tcBorders>
              <w:top w:val="single" w:sz="4" w:space="0" w:color="auto"/>
              <w:left w:val="single" w:sz="4" w:space="0" w:color="auto"/>
              <w:bottom w:val="single" w:sz="4" w:space="0" w:color="auto"/>
              <w:right w:val="single" w:sz="4" w:space="0" w:color="auto"/>
            </w:tcBorders>
            <w:vAlign w:val="bottom"/>
          </w:tcPr>
          <w:p w:rsidR="00AB2802" w:rsidRPr="00476CD7" w:rsidRDefault="00AB2802" w:rsidP="0067467D">
            <w:pPr>
              <w:rPr>
                <w:sz w:val="28"/>
                <w:szCs w:val="28"/>
              </w:rPr>
            </w:pPr>
            <w:r w:rsidRPr="00476CD7">
              <w:rPr>
                <w:sz w:val="28"/>
                <w:szCs w:val="28"/>
              </w:rPr>
              <w:t>7. административных и офисных зданий, объектов образования, науки, здравоохранения и социального обеспечения, физической культуры и спорта, культуры, искусства, религии</w:t>
            </w:r>
          </w:p>
        </w:tc>
        <w:tc>
          <w:tcPr>
            <w:tcW w:w="1058" w:type="dxa"/>
            <w:tcBorders>
              <w:top w:val="nil"/>
              <w:left w:val="nil"/>
              <w:bottom w:val="single" w:sz="4" w:space="0" w:color="auto"/>
              <w:right w:val="single" w:sz="4" w:space="0" w:color="auto"/>
            </w:tcBorders>
            <w:noWrap/>
            <w:vAlign w:val="bottom"/>
          </w:tcPr>
          <w:p w:rsidR="00AB2802" w:rsidRPr="00476CD7" w:rsidRDefault="00AB2802" w:rsidP="0067467D">
            <w:pPr>
              <w:rPr>
                <w:color w:val="000000"/>
                <w:sz w:val="28"/>
                <w:szCs w:val="28"/>
              </w:rPr>
            </w:pPr>
            <w:r w:rsidRPr="00476CD7">
              <w:rPr>
                <w:color w:val="000000"/>
                <w:sz w:val="28"/>
                <w:szCs w:val="28"/>
              </w:rPr>
              <w:t>6472,767</w:t>
            </w:r>
          </w:p>
        </w:tc>
      </w:tr>
      <w:tr w:rsidR="00AB2802" w:rsidRPr="00476CD7">
        <w:trPr>
          <w:trHeight w:val="585"/>
        </w:trPr>
        <w:tc>
          <w:tcPr>
            <w:tcW w:w="7260" w:type="dxa"/>
            <w:tcBorders>
              <w:top w:val="single" w:sz="4" w:space="0" w:color="auto"/>
              <w:left w:val="single" w:sz="4" w:space="0" w:color="auto"/>
              <w:bottom w:val="single" w:sz="4" w:space="0" w:color="auto"/>
              <w:right w:val="single" w:sz="4" w:space="0" w:color="auto"/>
            </w:tcBorders>
            <w:vAlign w:val="bottom"/>
          </w:tcPr>
          <w:p w:rsidR="00AB2802" w:rsidRPr="00476CD7" w:rsidRDefault="00AB2802" w:rsidP="0067467D">
            <w:pPr>
              <w:rPr>
                <w:b/>
                <w:bCs/>
                <w:sz w:val="28"/>
                <w:szCs w:val="28"/>
              </w:rPr>
            </w:pPr>
            <w:r w:rsidRPr="00476CD7">
              <w:rPr>
                <w:b/>
                <w:bCs/>
                <w:sz w:val="28"/>
                <w:szCs w:val="28"/>
              </w:rPr>
              <w:t>9.производственных и административных зданий, строений, сооружений промышленности, коммунального хозяйства, материально-технического, продовольственного снабжения, сбыта и заготовок.</w:t>
            </w:r>
          </w:p>
        </w:tc>
        <w:tc>
          <w:tcPr>
            <w:tcW w:w="1058" w:type="dxa"/>
            <w:tcBorders>
              <w:top w:val="nil"/>
              <w:left w:val="nil"/>
              <w:bottom w:val="single" w:sz="4" w:space="0" w:color="auto"/>
              <w:right w:val="single" w:sz="4" w:space="0" w:color="auto"/>
            </w:tcBorders>
            <w:noWrap/>
            <w:vAlign w:val="bottom"/>
          </w:tcPr>
          <w:p w:rsidR="00AB2802" w:rsidRPr="00476CD7" w:rsidRDefault="00AB2802" w:rsidP="0067467D">
            <w:pPr>
              <w:rPr>
                <w:b/>
                <w:bCs/>
                <w:color w:val="000000"/>
                <w:sz w:val="28"/>
                <w:szCs w:val="28"/>
              </w:rPr>
            </w:pPr>
            <w:r w:rsidRPr="00476CD7">
              <w:rPr>
                <w:b/>
                <w:bCs/>
                <w:color w:val="000000"/>
                <w:sz w:val="28"/>
                <w:szCs w:val="28"/>
              </w:rPr>
              <w:t>695,7173</w:t>
            </w:r>
          </w:p>
        </w:tc>
      </w:tr>
      <w:tr w:rsidR="00AB2802" w:rsidRPr="00476CD7">
        <w:trPr>
          <w:trHeight w:val="300"/>
        </w:trPr>
        <w:tc>
          <w:tcPr>
            <w:tcW w:w="7260" w:type="dxa"/>
            <w:tcBorders>
              <w:top w:val="single" w:sz="4" w:space="0" w:color="auto"/>
              <w:left w:val="single" w:sz="4" w:space="0" w:color="auto"/>
              <w:bottom w:val="single" w:sz="4" w:space="0" w:color="auto"/>
              <w:right w:val="single" w:sz="4" w:space="0" w:color="auto"/>
            </w:tcBorders>
            <w:vAlign w:val="bottom"/>
          </w:tcPr>
          <w:p w:rsidR="00AB2802" w:rsidRPr="00476CD7" w:rsidRDefault="00AB2802" w:rsidP="0067467D">
            <w:pPr>
              <w:rPr>
                <w:sz w:val="28"/>
                <w:szCs w:val="28"/>
              </w:rPr>
            </w:pPr>
            <w:r w:rsidRPr="00476CD7">
              <w:rPr>
                <w:sz w:val="28"/>
                <w:szCs w:val="28"/>
              </w:rPr>
              <w:t>10. электростанций, обслуживающих их сооружений и объектов</w:t>
            </w:r>
          </w:p>
        </w:tc>
        <w:tc>
          <w:tcPr>
            <w:tcW w:w="1058" w:type="dxa"/>
            <w:tcBorders>
              <w:top w:val="nil"/>
              <w:left w:val="nil"/>
              <w:bottom w:val="single" w:sz="4" w:space="0" w:color="auto"/>
              <w:right w:val="single" w:sz="4" w:space="0" w:color="auto"/>
            </w:tcBorders>
            <w:noWrap/>
            <w:vAlign w:val="bottom"/>
          </w:tcPr>
          <w:p w:rsidR="00AB2802" w:rsidRPr="00476CD7" w:rsidRDefault="00AB2802" w:rsidP="0067467D">
            <w:pPr>
              <w:rPr>
                <w:color w:val="000000"/>
                <w:sz w:val="28"/>
                <w:szCs w:val="28"/>
              </w:rPr>
            </w:pPr>
            <w:r w:rsidRPr="00476CD7">
              <w:rPr>
                <w:color w:val="000000"/>
                <w:sz w:val="28"/>
                <w:szCs w:val="28"/>
              </w:rPr>
              <w:t>2806,217</w:t>
            </w:r>
          </w:p>
        </w:tc>
      </w:tr>
      <w:tr w:rsidR="00AB2802" w:rsidRPr="00476CD7">
        <w:trPr>
          <w:trHeight w:val="300"/>
        </w:trPr>
        <w:tc>
          <w:tcPr>
            <w:tcW w:w="7260" w:type="dxa"/>
            <w:tcBorders>
              <w:top w:val="single" w:sz="4" w:space="0" w:color="auto"/>
              <w:left w:val="single" w:sz="4" w:space="0" w:color="auto"/>
              <w:bottom w:val="single" w:sz="4" w:space="0" w:color="auto"/>
              <w:right w:val="single" w:sz="4" w:space="0" w:color="auto"/>
            </w:tcBorders>
            <w:vAlign w:val="bottom"/>
          </w:tcPr>
          <w:p w:rsidR="00AB2802" w:rsidRPr="00476CD7" w:rsidRDefault="00AB2802" w:rsidP="0067467D">
            <w:pPr>
              <w:rPr>
                <w:sz w:val="28"/>
                <w:szCs w:val="28"/>
              </w:rPr>
            </w:pPr>
            <w:r w:rsidRPr="00476CD7">
              <w:rPr>
                <w:sz w:val="28"/>
                <w:szCs w:val="28"/>
              </w:rPr>
              <w:t>11. портов, водных, железнодорожных вокзалов, автодорожных вокзалов, аэропортов, аэродромов, аэровокзалов</w:t>
            </w:r>
          </w:p>
        </w:tc>
        <w:tc>
          <w:tcPr>
            <w:tcW w:w="1058" w:type="dxa"/>
            <w:tcBorders>
              <w:top w:val="nil"/>
              <w:left w:val="nil"/>
              <w:bottom w:val="single" w:sz="4" w:space="0" w:color="auto"/>
              <w:right w:val="single" w:sz="4" w:space="0" w:color="auto"/>
            </w:tcBorders>
            <w:noWrap/>
            <w:vAlign w:val="bottom"/>
          </w:tcPr>
          <w:p w:rsidR="00AB2802" w:rsidRPr="00476CD7" w:rsidRDefault="00AB2802" w:rsidP="0067467D">
            <w:pPr>
              <w:rPr>
                <w:color w:val="000000"/>
                <w:sz w:val="28"/>
                <w:szCs w:val="28"/>
              </w:rPr>
            </w:pPr>
            <w:r w:rsidRPr="00476CD7">
              <w:rPr>
                <w:color w:val="000000"/>
                <w:sz w:val="28"/>
                <w:szCs w:val="28"/>
              </w:rPr>
              <w:t>-</w:t>
            </w:r>
          </w:p>
        </w:tc>
      </w:tr>
      <w:tr w:rsidR="00AB2802" w:rsidRPr="00476CD7">
        <w:trPr>
          <w:trHeight w:val="300"/>
        </w:trPr>
        <w:tc>
          <w:tcPr>
            <w:tcW w:w="7260" w:type="dxa"/>
            <w:tcBorders>
              <w:top w:val="single" w:sz="4" w:space="0" w:color="auto"/>
              <w:left w:val="single" w:sz="4" w:space="0" w:color="auto"/>
              <w:bottom w:val="single" w:sz="4" w:space="0" w:color="auto"/>
              <w:right w:val="single" w:sz="4" w:space="0" w:color="auto"/>
            </w:tcBorders>
            <w:vAlign w:val="bottom"/>
          </w:tcPr>
          <w:p w:rsidR="00AB2802" w:rsidRPr="00476CD7" w:rsidRDefault="00AB2802" w:rsidP="0067467D">
            <w:pPr>
              <w:rPr>
                <w:sz w:val="28"/>
                <w:szCs w:val="28"/>
              </w:rPr>
            </w:pPr>
            <w:r w:rsidRPr="00476CD7">
              <w:rPr>
                <w:sz w:val="28"/>
                <w:szCs w:val="28"/>
              </w:rPr>
              <w:t>12.  занятые водными объектами, находящимися в обороте</w:t>
            </w:r>
          </w:p>
        </w:tc>
        <w:tc>
          <w:tcPr>
            <w:tcW w:w="1058" w:type="dxa"/>
            <w:tcBorders>
              <w:top w:val="nil"/>
              <w:left w:val="nil"/>
              <w:bottom w:val="single" w:sz="4" w:space="0" w:color="auto"/>
              <w:right w:val="single" w:sz="4" w:space="0" w:color="auto"/>
            </w:tcBorders>
            <w:noWrap/>
            <w:vAlign w:val="bottom"/>
          </w:tcPr>
          <w:p w:rsidR="00AB2802" w:rsidRPr="00476CD7" w:rsidRDefault="00AB2802" w:rsidP="0067467D">
            <w:pPr>
              <w:rPr>
                <w:color w:val="000000"/>
                <w:sz w:val="28"/>
                <w:szCs w:val="28"/>
              </w:rPr>
            </w:pPr>
            <w:r w:rsidRPr="00476CD7">
              <w:rPr>
                <w:color w:val="000000"/>
                <w:sz w:val="28"/>
                <w:szCs w:val="28"/>
              </w:rPr>
              <w:t>1303,04</w:t>
            </w:r>
          </w:p>
        </w:tc>
      </w:tr>
      <w:tr w:rsidR="00AB2802" w:rsidRPr="00476CD7">
        <w:trPr>
          <w:trHeight w:val="300"/>
        </w:trPr>
        <w:tc>
          <w:tcPr>
            <w:tcW w:w="7260" w:type="dxa"/>
            <w:tcBorders>
              <w:top w:val="single" w:sz="4" w:space="0" w:color="auto"/>
              <w:left w:val="single" w:sz="4" w:space="0" w:color="auto"/>
              <w:bottom w:val="single" w:sz="4" w:space="0" w:color="auto"/>
              <w:right w:val="single" w:sz="4" w:space="0" w:color="auto"/>
            </w:tcBorders>
            <w:vAlign w:val="bottom"/>
          </w:tcPr>
          <w:p w:rsidR="00AB2802" w:rsidRPr="00476CD7" w:rsidRDefault="00AB2802" w:rsidP="0067467D">
            <w:pPr>
              <w:rPr>
                <w:sz w:val="28"/>
                <w:szCs w:val="28"/>
              </w:rPr>
            </w:pPr>
            <w:r w:rsidRPr="00476CD7">
              <w:rPr>
                <w:sz w:val="28"/>
                <w:szCs w:val="28"/>
              </w:rPr>
              <w:t>13. разработки полезных ископаемых, размещения железнодорожных путей, автомобильных дорог, искуственно созданных внутренних водных путей, причалов, пристаней, полос отвода железных и автомобильных дорог, водных путей, трубопроводов, кабельных, радиорелейных и воздушных линий связи и линий радиофикации, воздушных линий электропередачи конструктивных элементов и сооружений, объектов, необходимых для эксплуатации, содержания, строительства, реконструкции, ремонта, развития наземных и подземных зданий, строений, сооружений, устройств транспорта, энергетики и связи; размещения наземных сооружений и инфраструктуры спутниковой связи, объектов космической деятельности, военных объектов.</w:t>
            </w:r>
          </w:p>
        </w:tc>
        <w:tc>
          <w:tcPr>
            <w:tcW w:w="1058" w:type="dxa"/>
            <w:tcBorders>
              <w:top w:val="nil"/>
              <w:left w:val="nil"/>
              <w:bottom w:val="single" w:sz="4" w:space="0" w:color="auto"/>
              <w:right w:val="single" w:sz="4" w:space="0" w:color="auto"/>
            </w:tcBorders>
            <w:noWrap/>
            <w:vAlign w:val="bottom"/>
          </w:tcPr>
          <w:p w:rsidR="00AB2802" w:rsidRPr="00476CD7" w:rsidRDefault="00AB2802" w:rsidP="0067467D">
            <w:pPr>
              <w:rPr>
                <w:color w:val="000000"/>
                <w:sz w:val="28"/>
                <w:szCs w:val="28"/>
              </w:rPr>
            </w:pPr>
            <w:r w:rsidRPr="00476CD7">
              <w:rPr>
                <w:color w:val="000000"/>
                <w:sz w:val="28"/>
                <w:szCs w:val="28"/>
              </w:rPr>
              <w:t>-</w:t>
            </w:r>
          </w:p>
        </w:tc>
      </w:tr>
      <w:tr w:rsidR="00AB2802" w:rsidRPr="00476CD7">
        <w:trPr>
          <w:trHeight w:val="300"/>
        </w:trPr>
        <w:tc>
          <w:tcPr>
            <w:tcW w:w="7260" w:type="dxa"/>
            <w:tcBorders>
              <w:top w:val="single" w:sz="4" w:space="0" w:color="auto"/>
              <w:left w:val="single" w:sz="4" w:space="0" w:color="auto"/>
              <w:bottom w:val="single" w:sz="4" w:space="0" w:color="auto"/>
              <w:right w:val="single" w:sz="4" w:space="0" w:color="auto"/>
            </w:tcBorders>
            <w:vAlign w:val="bottom"/>
          </w:tcPr>
          <w:p w:rsidR="00AB2802" w:rsidRPr="00476CD7" w:rsidRDefault="00AB2802" w:rsidP="0067467D">
            <w:pPr>
              <w:rPr>
                <w:sz w:val="28"/>
                <w:szCs w:val="28"/>
              </w:rPr>
            </w:pPr>
            <w:r w:rsidRPr="00476CD7">
              <w:rPr>
                <w:sz w:val="28"/>
                <w:szCs w:val="28"/>
              </w:rPr>
              <w:t>14. занятые особо охраняемыми территориями и объектами, городскими лесами, скверами, парками, городскими садами</w:t>
            </w:r>
          </w:p>
        </w:tc>
        <w:tc>
          <w:tcPr>
            <w:tcW w:w="1058" w:type="dxa"/>
            <w:tcBorders>
              <w:top w:val="nil"/>
              <w:left w:val="nil"/>
              <w:bottom w:val="single" w:sz="4" w:space="0" w:color="auto"/>
              <w:right w:val="single" w:sz="4" w:space="0" w:color="auto"/>
            </w:tcBorders>
            <w:noWrap/>
            <w:vAlign w:val="bottom"/>
          </w:tcPr>
          <w:p w:rsidR="00AB2802" w:rsidRPr="00476CD7" w:rsidRDefault="00AB2802" w:rsidP="0067467D">
            <w:pPr>
              <w:rPr>
                <w:color w:val="000000"/>
                <w:sz w:val="28"/>
                <w:szCs w:val="28"/>
              </w:rPr>
            </w:pPr>
            <w:r w:rsidRPr="00476CD7">
              <w:rPr>
                <w:color w:val="000000"/>
                <w:sz w:val="28"/>
                <w:szCs w:val="28"/>
              </w:rPr>
              <w:t>2784,176</w:t>
            </w:r>
          </w:p>
        </w:tc>
      </w:tr>
      <w:tr w:rsidR="00AB2802" w:rsidRPr="00476CD7">
        <w:trPr>
          <w:trHeight w:val="300"/>
        </w:trPr>
        <w:tc>
          <w:tcPr>
            <w:tcW w:w="7260" w:type="dxa"/>
            <w:tcBorders>
              <w:top w:val="single" w:sz="4" w:space="0" w:color="auto"/>
              <w:left w:val="single" w:sz="4" w:space="0" w:color="auto"/>
              <w:bottom w:val="single" w:sz="4" w:space="0" w:color="auto"/>
              <w:right w:val="single" w:sz="4" w:space="0" w:color="auto"/>
            </w:tcBorders>
            <w:vAlign w:val="bottom"/>
          </w:tcPr>
          <w:p w:rsidR="00AB2802" w:rsidRPr="00476CD7" w:rsidRDefault="00AB2802" w:rsidP="0067467D">
            <w:pPr>
              <w:rPr>
                <w:sz w:val="28"/>
                <w:szCs w:val="28"/>
              </w:rPr>
            </w:pPr>
            <w:r w:rsidRPr="00476CD7">
              <w:rPr>
                <w:sz w:val="28"/>
                <w:szCs w:val="28"/>
              </w:rPr>
              <w:t>15.  для сельскохозяйственного использования</w:t>
            </w:r>
          </w:p>
        </w:tc>
        <w:tc>
          <w:tcPr>
            <w:tcW w:w="1058" w:type="dxa"/>
            <w:tcBorders>
              <w:top w:val="nil"/>
              <w:left w:val="nil"/>
              <w:bottom w:val="single" w:sz="4" w:space="0" w:color="auto"/>
              <w:right w:val="single" w:sz="4" w:space="0" w:color="auto"/>
            </w:tcBorders>
            <w:noWrap/>
            <w:vAlign w:val="bottom"/>
          </w:tcPr>
          <w:p w:rsidR="00AB2802" w:rsidRPr="00476CD7" w:rsidRDefault="00AB2802" w:rsidP="0067467D">
            <w:pPr>
              <w:rPr>
                <w:color w:val="000000"/>
                <w:sz w:val="28"/>
                <w:szCs w:val="28"/>
              </w:rPr>
            </w:pPr>
            <w:r w:rsidRPr="00476CD7">
              <w:rPr>
                <w:color w:val="000000"/>
                <w:sz w:val="28"/>
                <w:szCs w:val="28"/>
              </w:rPr>
              <w:t>0,47</w:t>
            </w:r>
          </w:p>
        </w:tc>
      </w:tr>
      <w:tr w:rsidR="00AB2802" w:rsidRPr="00476CD7">
        <w:trPr>
          <w:trHeight w:val="300"/>
        </w:trPr>
        <w:tc>
          <w:tcPr>
            <w:tcW w:w="7260" w:type="dxa"/>
            <w:tcBorders>
              <w:top w:val="single" w:sz="4" w:space="0" w:color="auto"/>
              <w:left w:val="single" w:sz="4" w:space="0" w:color="auto"/>
              <w:bottom w:val="single" w:sz="4" w:space="0" w:color="auto"/>
              <w:right w:val="single" w:sz="4" w:space="0" w:color="auto"/>
            </w:tcBorders>
            <w:vAlign w:val="bottom"/>
          </w:tcPr>
          <w:p w:rsidR="00AB2802" w:rsidRPr="00476CD7" w:rsidRDefault="00AB2802" w:rsidP="0067467D">
            <w:pPr>
              <w:rPr>
                <w:sz w:val="28"/>
                <w:szCs w:val="28"/>
              </w:rPr>
            </w:pPr>
            <w:r w:rsidRPr="00476CD7">
              <w:rPr>
                <w:sz w:val="28"/>
                <w:szCs w:val="28"/>
              </w:rPr>
              <w:t>16. улиц, проспектов, площадей, шоссе, аллей, бульваров, застав, переулков, проездов, тупиков; земельные участки земель резерва; земельные участки, занятые водными объектами, изъятыми из оборота или ограниченными в обороте в соответствии с законодательством Российской Федерации; земельные участки под полосами отвода водоемов, каналов и коллекторов, набережные</w:t>
            </w:r>
          </w:p>
        </w:tc>
        <w:tc>
          <w:tcPr>
            <w:tcW w:w="1058" w:type="dxa"/>
            <w:tcBorders>
              <w:top w:val="nil"/>
              <w:left w:val="nil"/>
              <w:bottom w:val="single" w:sz="4" w:space="0" w:color="auto"/>
              <w:right w:val="single" w:sz="4" w:space="0" w:color="auto"/>
            </w:tcBorders>
            <w:noWrap/>
            <w:vAlign w:val="bottom"/>
          </w:tcPr>
          <w:p w:rsidR="00AB2802" w:rsidRPr="00476CD7" w:rsidRDefault="00AB2802" w:rsidP="0067467D">
            <w:pPr>
              <w:spacing w:before="120"/>
              <w:rPr>
                <w:color w:val="000000"/>
                <w:sz w:val="28"/>
                <w:szCs w:val="28"/>
              </w:rPr>
            </w:pPr>
            <w:r w:rsidRPr="00476CD7">
              <w:rPr>
                <w:color w:val="000000"/>
                <w:sz w:val="28"/>
                <w:szCs w:val="28"/>
              </w:rPr>
              <w:t>1,72</w:t>
            </w:r>
          </w:p>
        </w:tc>
      </w:tr>
    </w:tbl>
    <w:p w:rsidR="00AB2802" w:rsidRPr="00476CD7" w:rsidRDefault="00AB2802" w:rsidP="001F2254">
      <w:pPr>
        <w:autoSpaceDE w:val="0"/>
        <w:autoSpaceDN w:val="0"/>
        <w:adjustRightInd w:val="0"/>
        <w:spacing w:before="120"/>
        <w:ind w:firstLine="585"/>
        <w:jc w:val="both"/>
        <w:rPr>
          <w:sz w:val="28"/>
          <w:szCs w:val="28"/>
        </w:rPr>
      </w:pPr>
      <w:r w:rsidRPr="00476CD7">
        <w:rPr>
          <w:sz w:val="28"/>
          <w:szCs w:val="28"/>
        </w:rPr>
        <w:t>Источник: Таблица составлена автором по данным Управления Федеральной службы государственной регистрации, кадастра и картографии по Липецкой области.</w:t>
      </w:r>
    </w:p>
    <w:p w:rsidR="00AB2802" w:rsidRPr="00476CD7" w:rsidRDefault="00AB2802" w:rsidP="001F2254">
      <w:pPr>
        <w:spacing w:line="360" w:lineRule="auto"/>
        <w:ind w:firstLine="585"/>
        <w:jc w:val="both"/>
        <w:rPr>
          <w:sz w:val="28"/>
          <w:szCs w:val="28"/>
        </w:rPr>
      </w:pPr>
    </w:p>
    <w:p w:rsidR="00AB2802" w:rsidRPr="00476CD7" w:rsidRDefault="00AB2802" w:rsidP="00F614D6">
      <w:pPr>
        <w:spacing w:line="360" w:lineRule="auto"/>
        <w:ind w:firstLine="709"/>
        <w:jc w:val="both"/>
        <w:rPr>
          <w:sz w:val="28"/>
          <w:szCs w:val="28"/>
        </w:rPr>
      </w:pPr>
      <w:r w:rsidRPr="00476CD7">
        <w:rPr>
          <w:sz w:val="28"/>
          <w:szCs w:val="28"/>
        </w:rPr>
        <w:t xml:space="preserve">Как видно из таблицы, кадастровая стоимость земель, занятая промышленными предприятиями более чем в десять раз меньше стоимости земли, где располагаются объекты торговли, общественного питания и бытового обслуживания, офисы и административные здания. Но земельный налог платят по текущему использованию по единой для всех ставке в 1,5%. В результате примеры успешного применения института несоответствующего использования территории, не закономерные случаи, а скорее исключения из правил. Для полноценной и эффективной работы института несоответствующего использования земельный налог для несоответствующих объектов необходимо рассчитывать по разрешенным видам использования, что будет являться значительным двигателем процесса выноса вредных промышленных предприятий из центральных частей городов, и использования освободившейся территории наиболее эффективным способом.   </w:t>
      </w:r>
    </w:p>
    <w:p w:rsidR="00AB2802" w:rsidRPr="00476CD7" w:rsidRDefault="00AB2802" w:rsidP="00F614D6">
      <w:pPr>
        <w:spacing w:line="360" w:lineRule="auto"/>
        <w:ind w:firstLine="709"/>
        <w:jc w:val="both"/>
        <w:rPr>
          <w:sz w:val="28"/>
          <w:szCs w:val="28"/>
        </w:rPr>
      </w:pPr>
      <w:r w:rsidRPr="00476CD7">
        <w:rPr>
          <w:sz w:val="28"/>
          <w:szCs w:val="28"/>
        </w:rPr>
        <w:t xml:space="preserve">Очевидно, что не все вредные предприятия можно вынести. Допустим в Липецке – Новолипецкий металлургический комбинат, конечно, никуда вынести не удастся, несмотря на то, что сегодня в санитарно-защитной зоне этого завода живут люди. Это крупнейшее предприятие в регионе, горадообразующее предприятие в Липецке, где работает большая часть трудоспособного населения. Во-первых, перенос производства будет связан с колоссальными издержками, во-вторых, в городе нет подобных территорий, где можно расположить данный объект. Здесь речь, главным образом, идет о неэффективных предприятиях, значительно ухудшающих качество городской среды и оказывающих негативное влияние на экономическое развитие города.  </w:t>
      </w:r>
    </w:p>
    <w:p w:rsidR="00AB2802" w:rsidRPr="00476CD7" w:rsidRDefault="00AB2802" w:rsidP="00F614D6">
      <w:pPr>
        <w:spacing w:line="360" w:lineRule="auto"/>
        <w:ind w:firstLine="709"/>
        <w:jc w:val="both"/>
        <w:rPr>
          <w:sz w:val="28"/>
          <w:szCs w:val="28"/>
        </w:rPr>
      </w:pPr>
      <w:r w:rsidRPr="00476CD7">
        <w:rPr>
          <w:sz w:val="28"/>
          <w:szCs w:val="28"/>
        </w:rPr>
        <w:t xml:space="preserve">Повышение эффективности использования городских земель в конечном итоге позволит увеличить доходы местных бюджетов, в том числе за счет увеличения сборов по земельному налогу. У местных властей появляется возможность увеличивать расходы на развитие городской инфраструктуры, благоустройство и строительство новых социальных объектов, что приведет к повышению качества городской среды. Рост собственных доходов может повысить уровень независимости местных властей от федерального и регионального уровня в вопросах городского социально-экономического развития.   </w:t>
      </w:r>
    </w:p>
    <w:p w:rsidR="00AB2802" w:rsidRPr="00476CD7" w:rsidRDefault="00AB2802" w:rsidP="00F614D6">
      <w:pPr>
        <w:spacing w:line="360" w:lineRule="auto"/>
        <w:ind w:firstLine="709"/>
        <w:jc w:val="both"/>
        <w:rPr>
          <w:sz w:val="28"/>
          <w:szCs w:val="28"/>
        </w:rPr>
      </w:pPr>
      <w:r w:rsidRPr="00476CD7">
        <w:rPr>
          <w:sz w:val="28"/>
          <w:szCs w:val="28"/>
        </w:rPr>
        <w:br w:type="page"/>
      </w:r>
    </w:p>
    <w:p w:rsidR="00AB2802" w:rsidRPr="00476CD7" w:rsidRDefault="00AB2802" w:rsidP="005A20B0">
      <w:pPr>
        <w:spacing w:line="360" w:lineRule="auto"/>
        <w:ind w:firstLine="708"/>
        <w:jc w:val="both"/>
        <w:rPr>
          <w:b/>
          <w:sz w:val="28"/>
          <w:szCs w:val="28"/>
        </w:rPr>
      </w:pPr>
      <w:r w:rsidRPr="00476CD7">
        <w:rPr>
          <w:b/>
          <w:sz w:val="28"/>
          <w:szCs w:val="28"/>
        </w:rPr>
        <w:t xml:space="preserve">Список литературы: </w:t>
      </w:r>
    </w:p>
    <w:p w:rsidR="00AB2802" w:rsidRPr="00476CD7" w:rsidRDefault="00AB2802" w:rsidP="005A20B0">
      <w:pPr>
        <w:spacing w:line="360" w:lineRule="auto"/>
        <w:ind w:left="720"/>
        <w:jc w:val="both"/>
        <w:rPr>
          <w:sz w:val="28"/>
          <w:szCs w:val="28"/>
        </w:rPr>
      </w:pPr>
      <w:r w:rsidRPr="00476CD7">
        <w:rPr>
          <w:sz w:val="28"/>
          <w:szCs w:val="28"/>
        </w:rPr>
        <w:t>1. Региональная экономика. Основной курс.: Учебник / Под ред. В.И. Видяпин, М.В. Степанов. - (Высшее образование). – М.: Издательство ИНФРА-М, 2010. – 686 с.</w:t>
      </w:r>
    </w:p>
    <w:p w:rsidR="00AB2802" w:rsidRPr="00476CD7" w:rsidRDefault="00AB2802" w:rsidP="00622B15">
      <w:pPr>
        <w:spacing w:line="360" w:lineRule="auto"/>
        <w:ind w:left="720"/>
        <w:jc w:val="both"/>
        <w:rPr>
          <w:sz w:val="28"/>
          <w:szCs w:val="28"/>
        </w:rPr>
      </w:pPr>
      <w:r w:rsidRPr="00476CD7">
        <w:rPr>
          <w:sz w:val="28"/>
          <w:szCs w:val="28"/>
        </w:rPr>
        <w:t xml:space="preserve">2. Градорегулирование: Основы регулирования градостроительной деятельности в условиях становления рынка недвижимости. – М.: Фонд «Институт экономики города», 2008. – 296 с. </w:t>
      </w:r>
    </w:p>
    <w:p w:rsidR="00AB2802" w:rsidRPr="00476CD7" w:rsidRDefault="00AB2802" w:rsidP="00622B15">
      <w:pPr>
        <w:spacing w:line="360" w:lineRule="auto"/>
        <w:ind w:left="720"/>
        <w:jc w:val="both"/>
        <w:rPr>
          <w:sz w:val="28"/>
          <w:szCs w:val="28"/>
        </w:rPr>
      </w:pPr>
      <w:r w:rsidRPr="00476CD7">
        <w:rPr>
          <w:sz w:val="28"/>
          <w:szCs w:val="28"/>
        </w:rPr>
        <w:t>3. Трутнев Э.К., Сафарова М.Д. Градорегулирование в условиях рыночной экономики: учеб.пособие – М.:Издательство «Дело» АНХ, 2009. – 368 с. – (Сер. «Образовательные инновации»).</w:t>
      </w:r>
    </w:p>
    <w:p w:rsidR="00AB2802" w:rsidRPr="00476CD7" w:rsidRDefault="00AB2802" w:rsidP="00622B15">
      <w:pPr>
        <w:spacing w:line="360" w:lineRule="auto"/>
        <w:ind w:left="720"/>
        <w:jc w:val="both"/>
        <w:rPr>
          <w:sz w:val="28"/>
          <w:szCs w:val="28"/>
        </w:rPr>
      </w:pPr>
    </w:p>
    <w:p w:rsidR="00AB2802" w:rsidRPr="00476CD7" w:rsidRDefault="00AB2802" w:rsidP="00F614D6">
      <w:pPr>
        <w:spacing w:line="360" w:lineRule="auto"/>
        <w:ind w:firstLine="709"/>
        <w:jc w:val="both"/>
        <w:rPr>
          <w:sz w:val="28"/>
          <w:szCs w:val="28"/>
        </w:rPr>
      </w:pPr>
    </w:p>
    <w:p w:rsidR="00AB2802" w:rsidRPr="00476CD7" w:rsidRDefault="00AB2802" w:rsidP="00F614D6">
      <w:pPr>
        <w:spacing w:line="360" w:lineRule="auto"/>
        <w:ind w:firstLine="709"/>
        <w:jc w:val="both"/>
        <w:rPr>
          <w:sz w:val="28"/>
          <w:szCs w:val="28"/>
        </w:rPr>
      </w:pPr>
    </w:p>
    <w:p w:rsidR="00AB2802" w:rsidRDefault="00AB2802" w:rsidP="00F614D6">
      <w:pPr>
        <w:spacing w:line="360" w:lineRule="auto"/>
        <w:ind w:firstLine="709"/>
        <w:jc w:val="both"/>
      </w:pPr>
    </w:p>
    <w:p w:rsidR="00AB2802" w:rsidRDefault="00AB2802" w:rsidP="00F614D6">
      <w:pPr>
        <w:spacing w:line="360" w:lineRule="auto"/>
        <w:ind w:firstLine="709"/>
        <w:jc w:val="both"/>
      </w:pPr>
    </w:p>
    <w:sectPr w:rsidR="00AB2802" w:rsidSect="00011BD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5256E6"/>
    <w:multiLevelType w:val="hybridMultilevel"/>
    <w:tmpl w:val="DADCB676"/>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abstractNum w:abstractNumId="1">
    <w:nsid w:val="46CB23F5"/>
    <w:multiLevelType w:val="hybridMultilevel"/>
    <w:tmpl w:val="34587C08"/>
    <w:lvl w:ilvl="0" w:tplc="0419000B">
      <w:start w:val="1"/>
      <w:numFmt w:val="bullet"/>
      <w:lvlText w:val=""/>
      <w:lvlJc w:val="left"/>
      <w:pPr>
        <w:ind w:left="1571" w:hanging="360"/>
      </w:pPr>
      <w:rPr>
        <w:rFonts w:ascii="Wingdings" w:hAnsi="Wingdings" w:hint="default"/>
      </w:rPr>
    </w:lvl>
    <w:lvl w:ilvl="1" w:tplc="04190003">
      <w:start w:val="1"/>
      <w:numFmt w:val="bullet"/>
      <w:lvlText w:val="o"/>
      <w:lvlJc w:val="left"/>
      <w:pPr>
        <w:ind w:left="2291" w:hanging="360"/>
      </w:pPr>
      <w:rPr>
        <w:rFonts w:ascii="Courier New" w:hAnsi="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hint="default"/>
      </w:rPr>
    </w:lvl>
    <w:lvl w:ilvl="8" w:tplc="04190005">
      <w:start w:val="1"/>
      <w:numFmt w:val="bullet"/>
      <w:lvlText w:val=""/>
      <w:lvlJc w:val="left"/>
      <w:pPr>
        <w:ind w:left="7331" w:hanging="360"/>
      </w:pPr>
      <w:rPr>
        <w:rFonts w:ascii="Wingdings" w:hAnsi="Wingdings" w:hint="default"/>
      </w:rPr>
    </w:lvl>
  </w:abstractNum>
  <w:abstractNum w:abstractNumId="2">
    <w:nsid w:val="59555A95"/>
    <w:multiLevelType w:val="hybridMultilevel"/>
    <w:tmpl w:val="B7ACEBE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7CC4313E"/>
    <w:multiLevelType w:val="hybridMultilevel"/>
    <w:tmpl w:val="109A3660"/>
    <w:lvl w:ilvl="0" w:tplc="0419000B">
      <w:start w:val="1"/>
      <w:numFmt w:val="bullet"/>
      <w:lvlText w:val=""/>
      <w:lvlJc w:val="left"/>
      <w:pPr>
        <w:ind w:left="1428" w:hanging="360"/>
      </w:pPr>
      <w:rPr>
        <w:rFonts w:ascii="Wingdings" w:hAnsi="Wingdings" w:hint="default"/>
      </w:rPr>
    </w:lvl>
    <w:lvl w:ilvl="1" w:tplc="04190003">
      <w:start w:val="1"/>
      <w:numFmt w:val="bullet"/>
      <w:lvlText w:val="o"/>
      <w:lvlJc w:val="left"/>
      <w:pPr>
        <w:ind w:left="2148" w:hanging="360"/>
      </w:pPr>
      <w:rPr>
        <w:rFonts w:ascii="Courier New" w:hAnsi="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hint="default"/>
      </w:rPr>
    </w:lvl>
    <w:lvl w:ilvl="8" w:tplc="04190005">
      <w:start w:val="1"/>
      <w:numFmt w:val="bullet"/>
      <w:lvlText w:val=""/>
      <w:lvlJc w:val="left"/>
      <w:pPr>
        <w:ind w:left="7188"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330D8"/>
    <w:rsid w:val="00001889"/>
    <w:rsid w:val="00011BDF"/>
    <w:rsid w:val="00063A39"/>
    <w:rsid w:val="000E0719"/>
    <w:rsid w:val="00105C21"/>
    <w:rsid w:val="0012163F"/>
    <w:rsid w:val="00131B0B"/>
    <w:rsid w:val="0017544C"/>
    <w:rsid w:val="001F2254"/>
    <w:rsid w:val="00213979"/>
    <w:rsid w:val="00227DFC"/>
    <w:rsid w:val="00247D8C"/>
    <w:rsid w:val="002A13DB"/>
    <w:rsid w:val="003324EF"/>
    <w:rsid w:val="00335B24"/>
    <w:rsid w:val="00344F88"/>
    <w:rsid w:val="0037508A"/>
    <w:rsid w:val="00377537"/>
    <w:rsid w:val="003E62E6"/>
    <w:rsid w:val="00457C84"/>
    <w:rsid w:val="00476CD7"/>
    <w:rsid w:val="004A71F3"/>
    <w:rsid w:val="004B3F3B"/>
    <w:rsid w:val="005330D8"/>
    <w:rsid w:val="00551BA0"/>
    <w:rsid w:val="005A20B0"/>
    <w:rsid w:val="0061609E"/>
    <w:rsid w:val="00622B15"/>
    <w:rsid w:val="0067467D"/>
    <w:rsid w:val="00676A7B"/>
    <w:rsid w:val="006B1BED"/>
    <w:rsid w:val="006B3025"/>
    <w:rsid w:val="006C5E55"/>
    <w:rsid w:val="00706039"/>
    <w:rsid w:val="007F5AD8"/>
    <w:rsid w:val="00842212"/>
    <w:rsid w:val="0085655E"/>
    <w:rsid w:val="00867FC2"/>
    <w:rsid w:val="008A33F9"/>
    <w:rsid w:val="008D4E7E"/>
    <w:rsid w:val="00970BCD"/>
    <w:rsid w:val="009814F8"/>
    <w:rsid w:val="009B4C62"/>
    <w:rsid w:val="009E0A75"/>
    <w:rsid w:val="009E4119"/>
    <w:rsid w:val="00A04559"/>
    <w:rsid w:val="00A47A29"/>
    <w:rsid w:val="00A72771"/>
    <w:rsid w:val="00AB2802"/>
    <w:rsid w:val="00B153E9"/>
    <w:rsid w:val="00B67FE3"/>
    <w:rsid w:val="00BB1B98"/>
    <w:rsid w:val="00BF03AF"/>
    <w:rsid w:val="00C00027"/>
    <w:rsid w:val="00C85CA5"/>
    <w:rsid w:val="00CD5737"/>
    <w:rsid w:val="00D07EE5"/>
    <w:rsid w:val="00D3551E"/>
    <w:rsid w:val="00D53A36"/>
    <w:rsid w:val="00D56F5D"/>
    <w:rsid w:val="00E41A57"/>
    <w:rsid w:val="00E42658"/>
    <w:rsid w:val="00EA12DD"/>
    <w:rsid w:val="00ED492F"/>
    <w:rsid w:val="00EE1CE8"/>
    <w:rsid w:val="00EF0B17"/>
    <w:rsid w:val="00F16A1D"/>
    <w:rsid w:val="00F53583"/>
    <w:rsid w:val="00F54270"/>
    <w:rsid w:val="00F614D6"/>
    <w:rsid w:val="00F82FB0"/>
    <w:rsid w:val="00F836BA"/>
    <w:rsid w:val="00FB00E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1BDF"/>
    <w:rPr>
      <w:sz w:val="24"/>
      <w:szCs w:val="24"/>
    </w:rPr>
  </w:style>
  <w:style w:type="paragraph" w:styleId="Heading3">
    <w:name w:val="heading 3"/>
    <w:basedOn w:val="Normal"/>
    <w:link w:val="Heading3Char"/>
    <w:uiPriority w:val="99"/>
    <w:qFormat/>
    <w:locked/>
    <w:rsid w:val="005A20B0"/>
    <w:pPr>
      <w:spacing w:before="100" w:beforeAutospacing="1" w:after="100" w:afterAutospacing="1"/>
      <w:outlineLvl w:val="2"/>
    </w:pPr>
    <w:rPr>
      <w:b/>
      <w:bCs/>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9"/>
    <w:locked/>
    <w:rsid w:val="005A20B0"/>
    <w:rPr>
      <w:rFonts w:cs="Times New Roman"/>
      <w:b/>
      <w:bCs/>
      <w:sz w:val="27"/>
      <w:szCs w:val="27"/>
    </w:rPr>
  </w:style>
  <w:style w:type="table" w:styleId="TableGrid">
    <w:name w:val="Table Grid"/>
    <w:basedOn w:val="TableNormal"/>
    <w:uiPriority w:val="99"/>
    <w:rsid w:val="00F82FB0"/>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Web1">
    <w:name w:val="Table Web 1"/>
    <w:basedOn w:val="TableNormal"/>
    <w:uiPriority w:val="99"/>
    <w:rsid w:val="001F2254"/>
    <w:rPr>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styleId="ListParagraph">
    <w:name w:val="List Paragraph"/>
    <w:basedOn w:val="Normal"/>
    <w:uiPriority w:val="99"/>
    <w:qFormat/>
    <w:rsid w:val="0067467D"/>
    <w:pPr>
      <w:spacing w:after="200" w:line="276" w:lineRule="auto"/>
      <w:ind w:left="720"/>
    </w:pPr>
    <w:rPr>
      <w:rFonts w:ascii="Calibri" w:hAnsi="Calibri" w:cs="Calibri"/>
      <w:sz w:val="22"/>
      <w:szCs w:val="22"/>
      <w:lang w:eastAsia="en-US"/>
    </w:rPr>
  </w:style>
</w:styles>
</file>

<file path=word/webSettings.xml><?xml version="1.0" encoding="utf-8"?>
<w:webSettings xmlns:r="http://schemas.openxmlformats.org/officeDocument/2006/relationships" xmlns:w="http://schemas.openxmlformats.org/wordprocessingml/2006/main">
  <w:divs>
    <w:div w:id="17844208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TotalTime>
  <Pages>12</Pages>
  <Words>2945</Words>
  <Characters>16787</Characters>
  <Application>Microsoft Office Outlook</Application>
  <DocSecurity>0</DocSecurity>
  <Lines>0</Lines>
  <Paragraphs>0</Paragraphs>
  <ScaleCrop>false</ScaleCrop>
  <Company>Grizli777</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Институт несоответствующего использования как механизм развития городской территории и города в целом</dc:title>
  <dc:subject/>
  <dc:creator>user</dc:creator>
  <cp:keywords/>
  <dc:description/>
  <cp:lastModifiedBy>Иосиф</cp:lastModifiedBy>
  <cp:revision>7</cp:revision>
  <dcterms:created xsi:type="dcterms:W3CDTF">2012-10-31T11:54:00Z</dcterms:created>
  <dcterms:modified xsi:type="dcterms:W3CDTF">2012-12-08T06:50:00Z</dcterms:modified>
</cp:coreProperties>
</file>